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7F49FE7">
      <w:pPr>
        <w:pStyle w:val="9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</w:pP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61662"/>
        <w15:color w:val="DBDBDB"/>
        <w:docPartObj>
          <w:docPartGallery w:val="Table of Contents"/>
          <w:docPartUnique/>
        </w:docPartObj>
      </w:sdtPr>
      <w:sdtEndPr>
        <w:rPr>
          <w:rFonts w:hint="eastAsia" w:ascii="宋体" w:hAnsi="宋体" w:eastAsia="宋体" w:cstheme="minorBidi"/>
          <w:bCs/>
          <w:kern w:val="2"/>
          <w:sz w:val="21"/>
          <w:szCs w:val="28"/>
          <w:lang w:val="en-US" w:eastAsia="zh-CN" w:bidi="ar-SA"/>
        </w:rPr>
      </w:sdtEndPr>
      <w:sdtContent>
        <w:p w14:paraId="4324C8B5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hint="eastAsia" w:ascii="方正小标宋简体" w:hAnsi="方正小标宋简体" w:eastAsia="方正小标宋简体" w:cs="方正小标宋简体"/>
              <w:sz w:val="44"/>
              <w:szCs w:val="48"/>
            </w:rPr>
            <w:t>目录</w:t>
          </w:r>
        </w:p>
        <w:p w14:paraId="0F6ABB05">
          <w:pPr>
            <w:pStyle w:val="5"/>
            <w:tabs>
              <w:tab w:val="right" w:leader="dot" w:pos="8306"/>
            </w:tabs>
            <w:rPr>
              <w:sz w:val="32"/>
              <w:szCs w:val="36"/>
            </w:rPr>
          </w:pP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begin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instrText xml:space="preserve">TOC \o "1-1" \h \u </w:instrText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separate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begin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instrText xml:space="preserve"> HYPERLINK \l _Toc10392 </w:instrText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separate"/>
          </w:r>
          <w:r>
            <w:rPr>
              <w:rFonts w:hint="eastAsia" w:ascii="宋体" w:hAnsi="宋体" w:eastAsia="宋体"/>
              <w:bCs/>
              <w:sz w:val="32"/>
              <w:szCs w:val="44"/>
              <w:lang w:val="en-US" w:eastAsia="zh-CN"/>
            </w:rPr>
            <w:t>一、注册和绑定</w:t>
          </w:r>
          <w:r>
            <w:rPr>
              <w:sz w:val="32"/>
              <w:szCs w:val="36"/>
            </w:rPr>
            <w:tab/>
          </w:r>
          <w:r>
            <w:rPr>
              <w:sz w:val="32"/>
              <w:szCs w:val="36"/>
            </w:rPr>
            <w:fldChar w:fldCharType="begin"/>
          </w:r>
          <w:r>
            <w:rPr>
              <w:sz w:val="32"/>
              <w:szCs w:val="36"/>
            </w:rPr>
            <w:instrText xml:space="preserve"> PAGEREF _Toc10392 \h </w:instrText>
          </w:r>
          <w:r>
            <w:rPr>
              <w:sz w:val="32"/>
              <w:szCs w:val="36"/>
            </w:rPr>
            <w:fldChar w:fldCharType="separate"/>
          </w:r>
          <w:r>
            <w:rPr>
              <w:sz w:val="32"/>
              <w:szCs w:val="36"/>
            </w:rPr>
            <w:t>1</w:t>
          </w:r>
          <w:r>
            <w:rPr>
              <w:sz w:val="32"/>
              <w:szCs w:val="36"/>
            </w:rPr>
            <w:fldChar w:fldCharType="end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end"/>
          </w:r>
        </w:p>
        <w:p w14:paraId="42888804">
          <w:pPr>
            <w:pStyle w:val="5"/>
            <w:tabs>
              <w:tab w:val="right" w:leader="dot" w:pos="8306"/>
            </w:tabs>
            <w:rPr>
              <w:sz w:val="32"/>
              <w:szCs w:val="36"/>
            </w:rPr>
          </w:pP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begin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instrText xml:space="preserve"> HYPERLINK \l _Toc2970 </w:instrText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separate"/>
          </w:r>
          <w:r>
            <w:rPr>
              <w:rFonts w:hint="eastAsia" w:ascii="宋体" w:hAnsi="宋体" w:eastAsia="宋体" w:cs="宋体"/>
              <w:bCs/>
              <w:sz w:val="32"/>
              <w:szCs w:val="44"/>
              <w:lang w:val="en-US" w:eastAsia="zh-CN"/>
            </w:rPr>
            <w:t>二、申请人变更</w:t>
          </w:r>
          <w:r>
            <w:rPr>
              <w:sz w:val="32"/>
              <w:szCs w:val="36"/>
            </w:rPr>
            <w:tab/>
          </w:r>
          <w:r>
            <w:rPr>
              <w:sz w:val="32"/>
              <w:szCs w:val="36"/>
            </w:rPr>
            <w:fldChar w:fldCharType="begin"/>
          </w:r>
          <w:r>
            <w:rPr>
              <w:sz w:val="32"/>
              <w:szCs w:val="36"/>
            </w:rPr>
            <w:instrText xml:space="preserve"> PAGEREF _Toc2970 \h </w:instrText>
          </w:r>
          <w:r>
            <w:rPr>
              <w:sz w:val="32"/>
              <w:szCs w:val="36"/>
            </w:rPr>
            <w:fldChar w:fldCharType="separate"/>
          </w:r>
          <w:r>
            <w:rPr>
              <w:sz w:val="32"/>
              <w:szCs w:val="36"/>
            </w:rPr>
            <w:t>2</w:t>
          </w:r>
          <w:r>
            <w:rPr>
              <w:sz w:val="32"/>
              <w:szCs w:val="36"/>
            </w:rPr>
            <w:fldChar w:fldCharType="end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end"/>
          </w:r>
        </w:p>
        <w:p w14:paraId="5711314E">
          <w:pPr>
            <w:pStyle w:val="5"/>
            <w:tabs>
              <w:tab w:val="right" w:leader="dot" w:pos="8306"/>
            </w:tabs>
            <w:rPr>
              <w:sz w:val="32"/>
              <w:szCs w:val="36"/>
            </w:rPr>
          </w:pP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begin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instrText xml:space="preserve"> HYPERLINK \l _Toc2181 </w:instrText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separate"/>
          </w:r>
          <w:r>
            <w:rPr>
              <w:rFonts w:hint="eastAsia" w:ascii="宋体" w:hAnsi="宋体" w:eastAsia="宋体" w:cs="宋体"/>
              <w:bCs/>
              <w:sz w:val="32"/>
              <w:szCs w:val="44"/>
              <w:lang w:val="en-US" w:eastAsia="zh-CN"/>
            </w:rPr>
            <w:t>三、现场勘查</w:t>
          </w:r>
          <w:r>
            <w:rPr>
              <w:sz w:val="32"/>
              <w:szCs w:val="36"/>
            </w:rPr>
            <w:tab/>
          </w:r>
          <w:r>
            <w:rPr>
              <w:sz w:val="32"/>
              <w:szCs w:val="36"/>
            </w:rPr>
            <w:fldChar w:fldCharType="begin"/>
          </w:r>
          <w:r>
            <w:rPr>
              <w:sz w:val="32"/>
              <w:szCs w:val="36"/>
            </w:rPr>
            <w:instrText xml:space="preserve"> PAGEREF _Toc2181 \h </w:instrText>
          </w:r>
          <w:r>
            <w:rPr>
              <w:sz w:val="32"/>
              <w:szCs w:val="36"/>
            </w:rPr>
            <w:fldChar w:fldCharType="separate"/>
          </w:r>
          <w:r>
            <w:rPr>
              <w:sz w:val="32"/>
              <w:szCs w:val="36"/>
            </w:rPr>
            <w:t>2</w:t>
          </w:r>
          <w:r>
            <w:rPr>
              <w:sz w:val="32"/>
              <w:szCs w:val="36"/>
            </w:rPr>
            <w:fldChar w:fldCharType="end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end"/>
          </w:r>
        </w:p>
        <w:p w14:paraId="7EDED305">
          <w:pPr>
            <w:pStyle w:val="5"/>
            <w:tabs>
              <w:tab w:val="right" w:leader="dot" w:pos="8306"/>
            </w:tabs>
            <w:rPr>
              <w:sz w:val="32"/>
              <w:szCs w:val="36"/>
            </w:rPr>
          </w:pP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begin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instrText xml:space="preserve"> HYPERLINK \l _Toc22618 </w:instrText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separate"/>
          </w:r>
          <w:r>
            <w:rPr>
              <w:rFonts w:hint="eastAsia" w:ascii="宋体" w:hAnsi="宋体" w:eastAsia="宋体" w:cs="宋体"/>
              <w:bCs/>
              <w:sz w:val="32"/>
              <w:szCs w:val="44"/>
              <w:lang w:val="en-US" w:eastAsia="zh-CN"/>
            </w:rPr>
            <w:t>四、查询信息</w:t>
          </w:r>
          <w:r>
            <w:rPr>
              <w:sz w:val="32"/>
              <w:szCs w:val="36"/>
            </w:rPr>
            <w:tab/>
          </w:r>
          <w:r>
            <w:rPr>
              <w:sz w:val="32"/>
              <w:szCs w:val="36"/>
            </w:rPr>
            <w:fldChar w:fldCharType="begin"/>
          </w:r>
          <w:r>
            <w:rPr>
              <w:sz w:val="32"/>
              <w:szCs w:val="36"/>
            </w:rPr>
            <w:instrText xml:space="preserve"> PAGEREF _Toc22618 \h </w:instrText>
          </w:r>
          <w:r>
            <w:rPr>
              <w:sz w:val="32"/>
              <w:szCs w:val="36"/>
            </w:rPr>
            <w:fldChar w:fldCharType="separate"/>
          </w:r>
          <w:r>
            <w:rPr>
              <w:sz w:val="32"/>
              <w:szCs w:val="36"/>
            </w:rPr>
            <w:t>3</w:t>
          </w:r>
          <w:r>
            <w:rPr>
              <w:sz w:val="32"/>
              <w:szCs w:val="36"/>
            </w:rPr>
            <w:fldChar w:fldCharType="end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end"/>
          </w:r>
        </w:p>
        <w:p w14:paraId="0E26F87C">
          <w:pPr>
            <w:pStyle w:val="5"/>
            <w:tabs>
              <w:tab w:val="right" w:leader="dot" w:pos="8306"/>
            </w:tabs>
            <w:rPr>
              <w:sz w:val="32"/>
              <w:szCs w:val="36"/>
            </w:rPr>
          </w:pP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begin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instrText xml:space="preserve"> HYPERLINK \l _Toc11209 </w:instrText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separate"/>
          </w:r>
          <w:r>
            <w:rPr>
              <w:rFonts w:hint="eastAsia" w:ascii="宋体" w:hAnsi="宋体" w:eastAsia="宋体" w:cs="宋体"/>
              <w:bCs/>
              <w:kern w:val="2"/>
              <w:sz w:val="32"/>
              <w:szCs w:val="44"/>
              <w:lang w:val="en-US" w:eastAsia="zh-CN" w:bidi="ar-SA"/>
            </w:rPr>
            <w:t>五、</w:t>
          </w:r>
          <w:r>
            <w:rPr>
              <w:rFonts w:hint="eastAsia" w:ascii="宋体" w:hAnsi="宋体" w:eastAsia="宋体" w:cs="宋体"/>
              <w:bCs/>
              <w:sz w:val="32"/>
              <w:szCs w:val="44"/>
              <w:lang w:val="en-US" w:eastAsia="zh-CN"/>
            </w:rPr>
            <w:t>立项申请</w:t>
          </w:r>
          <w:r>
            <w:rPr>
              <w:sz w:val="32"/>
              <w:szCs w:val="36"/>
            </w:rPr>
            <w:tab/>
          </w:r>
          <w:r>
            <w:rPr>
              <w:sz w:val="32"/>
              <w:szCs w:val="36"/>
            </w:rPr>
            <w:fldChar w:fldCharType="begin"/>
          </w:r>
          <w:r>
            <w:rPr>
              <w:sz w:val="32"/>
              <w:szCs w:val="36"/>
            </w:rPr>
            <w:instrText xml:space="preserve"> PAGEREF _Toc11209 \h </w:instrText>
          </w:r>
          <w:r>
            <w:rPr>
              <w:sz w:val="32"/>
              <w:szCs w:val="36"/>
            </w:rPr>
            <w:fldChar w:fldCharType="separate"/>
          </w:r>
          <w:r>
            <w:rPr>
              <w:sz w:val="32"/>
              <w:szCs w:val="36"/>
            </w:rPr>
            <w:t>6</w:t>
          </w:r>
          <w:r>
            <w:rPr>
              <w:sz w:val="32"/>
              <w:szCs w:val="36"/>
            </w:rPr>
            <w:fldChar w:fldCharType="end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end"/>
          </w:r>
        </w:p>
        <w:p w14:paraId="1FDDA4B6">
          <w:pPr>
            <w:pStyle w:val="5"/>
            <w:tabs>
              <w:tab w:val="right" w:leader="dot" w:pos="8306"/>
            </w:tabs>
            <w:rPr>
              <w:sz w:val="32"/>
              <w:szCs w:val="36"/>
            </w:rPr>
          </w:pP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begin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instrText xml:space="preserve"> HYPERLINK \l _Toc25762 </w:instrText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separate"/>
          </w:r>
          <w:r>
            <w:rPr>
              <w:rFonts w:hint="eastAsia" w:ascii="宋体" w:hAnsi="宋体" w:eastAsia="宋体" w:cs="宋体"/>
              <w:bCs/>
              <w:kern w:val="2"/>
              <w:sz w:val="32"/>
              <w:szCs w:val="44"/>
              <w:lang w:val="en-US" w:eastAsia="zh-CN" w:bidi="ar-SA"/>
            </w:rPr>
            <w:t>六、</w:t>
          </w:r>
          <w:r>
            <w:rPr>
              <w:rFonts w:hint="eastAsia" w:ascii="宋体" w:hAnsi="宋体" w:eastAsia="宋体" w:cs="宋体"/>
              <w:bCs/>
              <w:sz w:val="32"/>
              <w:szCs w:val="44"/>
              <w:lang w:val="en-US" w:eastAsia="zh-CN"/>
            </w:rPr>
            <w:t>资金拨付</w:t>
          </w:r>
          <w:r>
            <w:rPr>
              <w:sz w:val="32"/>
              <w:szCs w:val="36"/>
            </w:rPr>
            <w:tab/>
          </w:r>
          <w:r>
            <w:rPr>
              <w:sz w:val="32"/>
              <w:szCs w:val="36"/>
            </w:rPr>
            <w:fldChar w:fldCharType="begin"/>
          </w:r>
          <w:r>
            <w:rPr>
              <w:sz w:val="32"/>
              <w:szCs w:val="36"/>
            </w:rPr>
            <w:instrText xml:space="preserve"> PAGEREF _Toc25762 \h </w:instrText>
          </w:r>
          <w:r>
            <w:rPr>
              <w:sz w:val="32"/>
              <w:szCs w:val="36"/>
            </w:rPr>
            <w:fldChar w:fldCharType="separate"/>
          </w:r>
          <w:r>
            <w:rPr>
              <w:sz w:val="32"/>
              <w:szCs w:val="36"/>
            </w:rPr>
            <w:t>15</w:t>
          </w:r>
          <w:r>
            <w:rPr>
              <w:sz w:val="32"/>
              <w:szCs w:val="36"/>
            </w:rPr>
            <w:fldChar w:fldCharType="end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end"/>
          </w:r>
        </w:p>
        <w:p w14:paraId="1EDE9C20">
          <w:pPr>
            <w:pStyle w:val="5"/>
            <w:tabs>
              <w:tab w:val="right" w:leader="dot" w:pos="8306"/>
            </w:tabs>
            <w:rPr>
              <w:sz w:val="32"/>
              <w:szCs w:val="36"/>
            </w:rPr>
          </w:pP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begin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instrText xml:space="preserve"> HYPERLINK \l _Toc27865 </w:instrText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separate"/>
          </w:r>
          <w:r>
            <w:rPr>
              <w:rFonts w:hint="eastAsia" w:ascii="宋体" w:hAnsi="宋体" w:eastAsia="宋体" w:cs="宋体"/>
              <w:bCs/>
              <w:sz w:val="32"/>
              <w:szCs w:val="44"/>
              <w:lang w:val="en-US" w:eastAsia="zh-CN"/>
            </w:rPr>
            <w:t>七、退还质保金</w:t>
          </w:r>
          <w:r>
            <w:rPr>
              <w:sz w:val="32"/>
              <w:szCs w:val="36"/>
            </w:rPr>
            <w:tab/>
          </w:r>
          <w:r>
            <w:rPr>
              <w:sz w:val="32"/>
              <w:szCs w:val="36"/>
            </w:rPr>
            <w:fldChar w:fldCharType="begin"/>
          </w:r>
          <w:r>
            <w:rPr>
              <w:sz w:val="32"/>
              <w:szCs w:val="36"/>
            </w:rPr>
            <w:instrText xml:space="preserve"> PAGEREF _Toc27865 \h </w:instrText>
          </w:r>
          <w:r>
            <w:rPr>
              <w:sz w:val="32"/>
              <w:szCs w:val="36"/>
            </w:rPr>
            <w:fldChar w:fldCharType="separate"/>
          </w:r>
          <w:r>
            <w:rPr>
              <w:sz w:val="32"/>
              <w:szCs w:val="36"/>
            </w:rPr>
            <w:t>20</w:t>
          </w:r>
          <w:r>
            <w:rPr>
              <w:sz w:val="32"/>
              <w:szCs w:val="36"/>
            </w:rPr>
            <w:fldChar w:fldCharType="end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end"/>
          </w:r>
        </w:p>
        <w:p w14:paraId="467DB2C3">
          <w:pPr>
            <w:pStyle w:val="5"/>
            <w:tabs>
              <w:tab w:val="right" w:leader="dot" w:pos="8306"/>
            </w:tabs>
            <w:rPr>
              <w:sz w:val="32"/>
              <w:szCs w:val="36"/>
            </w:rPr>
          </w:pP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begin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instrText xml:space="preserve"> HYPERLINK \l _Toc5986 </w:instrText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separate"/>
          </w:r>
          <w:r>
            <w:rPr>
              <w:rFonts w:hint="eastAsia" w:ascii="宋体" w:hAnsi="宋体" w:eastAsia="宋体" w:cs="宋体"/>
              <w:bCs/>
              <w:kern w:val="2"/>
              <w:sz w:val="32"/>
              <w:szCs w:val="44"/>
              <w:lang w:val="en-US" w:eastAsia="zh-CN" w:bidi="ar-SA"/>
            </w:rPr>
            <w:t>八、</w:t>
          </w:r>
          <w:r>
            <w:rPr>
              <w:rFonts w:hint="eastAsia" w:ascii="宋体" w:hAnsi="宋体" w:eastAsia="宋体" w:cs="宋体"/>
              <w:bCs/>
              <w:sz w:val="32"/>
              <w:szCs w:val="44"/>
              <w:lang w:val="en-US" w:eastAsia="zh-CN"/>
            </w:rPr>
            <w:t>注意事项</w:t>
          </w:r>
          <w:r>
            <w:rPr>
              <w:sz w:val="32"/>
              <w:szCs w:val="36"/>
            </w:rPr>
            <w:tab/>
          </w:r>
          <w:r>
            <w:rPr>
              <w:sz w:val="32"/>
              <w:szCs w:val="36"/>
            </w:rPr>
            <w:fldChar w:fldCharType="begin"/>
          </w:r>
          <w:r>
            <w:rPr>
              <w:sz w:val="32"/>
              <w:szCs w:val="36"/>
            </w:rPr>
            <w:instrText xml:space="preserve"> PAGEREF _Toc5986 \h </w:instrText>
          </w:r>
          <w:r>
            <w:rPr>
              <w:sz w:val="32"/>
              <w:szCs w:val="36"/>
            </w:rPr>
            <w:fldChar w:fldCharType="separate"/>
          </w:r>
          <w:r>
            <w:rPr>
              <w:sz w:val="32"/>
              <w:szCs w:val="36"/>
            </w:rPr>
            <w:t>20</w:t>
          </w:r>
          <w:r>
            <w:rPr>
              <w:sz w:val="32"/>
              <w:szCs w:val="36"/>
            </w:rPr>
            <w:fldChar w:fldCharType="end"/>
          </w: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end"/>
          </w:r>
        </w:p>
        <w:p w14:paraId="209A71A3">
          <w:pPr>
            <w:pStyle w:val="9"/>
            <w:numPr>
              <w:ilvl w:val="0"/>
              <w:numId w:val="0"/>
            </w:numPr>
            <w:spacing w:line="360" w:lineRule="auto"/>
            <w:rPr>
              <w:rFonts w:hint="eastAsia" w:ascii="宋体" w:hAnsi="宋体" w:eastAsia="宋体" w:cstheme="minorBidi"/>
              <w:bCs/>
              <w:kern w:val="2"/>
              <w:sz w:val="21"/>
              <w:szCs w:val="28"/>
              <w:lang w:val="en-US" w:eastAsia="zh-CN" w:bidi="ar-SA"/>
            </w:rPr>
          </w:pPr>
          <w:r>
            <w:rPr>
              <w:rFonts w:hint="eastAsia" w:ascii="宋体" w:hAnsi="宋体" w:eastAsia="宋体" w:cstheme="minorBidi"/>
              <w:bCs/>
              <w:kern w:val="2"/>
              <w:sz w:val="32"/>
              <w:szCs w:val="44"/>
              <w:lang w:val="en-US" w:eastAsia="zh-CN" w:bidi="ar-SA"/>
            </w:rPr>
            <w:fldChar w:fldCharType="end"/>
          </w:r>
        </w:p>
      </w:sdtContent>
    </w:sdt>
    <w:p w14:paraId="1C044930">
      <w:pPr>
        <w:pStyle w:val="9"/>
        <w:numPr>
          <w:ilvl w:val="0"/>
          <w:numId w:val="0"/>
        </w:numPr>
        <w:spacing w:line="360" w:lineRule="auto"/>
        <w:ind w:firstLine="420" w:firstLineChars="200"/>
        <w:rPr>
          <w:rFonts w:hint="eastAsia" w:ascii="宋体" w:hAnsi="宋体" w:eastAsia="宋体" w:cstheme="minorBidi"/>
          <w:bCs/>
          <w:kern w:val="2"/>
          <w:sz w:val="21"/>
          <w:szCs w:val="28"/>
          <w:lang w:val="en-US" w:eastAsia="zh-CN" w:bidi="ar-SA"/>
        </w:rPr>
      </w:pPr>
    </w:p>
    <w:p w14:paraId="693381AF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</w:p>
    <w:p w14:paraId="0C780904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</w:p>
    <w:p w14:paraId="3D1B9526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</w:p>
    <w:p w14:paraId="4782C126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</w:p>
    <w:p w14:paraId="6167AF0D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</w:p>
    <w:p w14:paraId="40BEBF7F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</w:p>
    <w:p w14:paraId="0189C340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</w:p>
    <w:p w14:paraId="20CBE1F5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</w:p>
    <w:p w14:paraId="283DFC06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</w:p>
    <w:p w14:paraId="3CEE5FC5">
      <w:pPr>
        <w:pStyle w:val="9"/>
        <w:numPr>
          <w:ilvl w:val="0"/>
          <w:numId w:val="0"/>
        </w:numPr>
        <w:spacing w:line="360" w:lineRule="auto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</w:p>
    <w:p w14:paraId="21545DBA">
      <w:pPr>
        <w:pStyle w:val="9"/>
        <w:numPr>
          <w:ilvl w:val="0"/>
          <w:numId w:val="0"/>
        </w:numPr>
        <w:spacing w:line="360" w:lineRule="auto"/>
        <w:ind w:firstLine="562" w:firstLineChars="200"/>
        <w:outlineLvl w:val="0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sectPr>
          <w:headerReference r:id="rId3" w:type="default"/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 w14:paraId="1DFC770E">
      <w:pPr>
        <w:pStyle w:val="9"/>
        <w:numPr>
          <w:ilvl w:val="0"/>
          <w:numId w:val="0"/>
        </w:numPr>
        <w:spacing w:line="360" w:lineRule="auto"/>
        <w:ind w:firstLine="562" w:firstLineChars="200"/>
        <w:outlineLvl w:val="0"/>
        <w:rPr>
          <w:rFonts w:hint="eastAsia" w:ascii="仿宋" w:hAnsi="仿宋" w:eastAsia="仿宋" w:cs="仿宋"/>
          <w:b/>
          <w:bCs/>
          <w:sz w:val="28"/>
          <w:szCs w:val="28"/>
        </w:rPr>
      </w:pPr>
      <w:bookmarkStart w:id="0" w:name="_Toc10392"/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一、注册和绑定（已注册绑定的无需重复操作）</w:t>
      </w:r>
      <w:bookmarkEnd w:id="0"/>
    </w:p>
    <w:p w14:paraId="59B44EC1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（一）注册</w:t>
      </w:r>
    </w:p>
    <w:p w14:paraId="322ECA71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业主委员会、相关业主和物业服务企业（以下称“申请人”）登录“滁州市物业专项维修资金管理信息系统”，点击注册，根据系统提示上传相关材料完成注册。因个别小区名称不统一，注册时建议用小区名称中的关键词搜索。</w:t>
      </w:r>
    </w:p>
    <w:p w14:paraId="4A6872B2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u w:val="none"/>
          <w:lang w:val="en-US" w:eastAsia="zh-CN"/>
        </w:rPr>
        <w:t>注意：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u w:val="none"/>
          <w:lang w:val="en-US" w:eastAsia="zh-CN"/>
        </w:rPr>
        <w:t>1.一定要保存好自己的账号密码。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如发生密码丢失，在系统首页下载并填写“密码重置申请表”后，盖章送至建设大厦14楼。</w:t>
      </w:r>
    </w:p>
    <w:p w14:paraId="73D7FF91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2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u w:val="none"/>
          <w:lang w:val="en-US" w:eastAsia="zh-CN"/>
        </w:rPr>
        <w:t>.无系统网址的情况，可“百度”搜素“滁州维修资金”关键词，可搜索出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“滁州市物业专项维修资金管理信息系统”。</w:t>
      </w:r>
    </w:p>
    <w:p w14:paraId="53CF8A58">
      <w:pPr>
        <w:pStyle w:val="9"/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5420" cy="2625725"/>
            <wp:effectExtent l="0" t="0" r="11430" b="317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2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2872F">
      <w:pPr>
        <w:pStyle w:val="9"/>
        <w:numPr>
          <w:ilvl w:val="0"/>
          <w:numId w:val="0"/>
        </w:numPr>
        <w:spacing w:line="360" w:lineRule="auto"/>
        <w:ind w:firstLine="560" w:firstLineChars="200"/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（二）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绑定</w:t>
      </w:r>
    </w:p>
    <w:p w14:paraId="2FE7A245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物业服务企业注册后，点击快捷栏“变更物业区域物业服务企业”绑定小区，根据系统提示上传材料后提交</w:t>
      </w:r>
      <w:r>
        <w:rPr>
          <w:rFonts w:hint="eastAsia" w:ascii="仿宋" w:hAnsi="仿宋" w:eastAsia="仿宋" w:cs="仿宋"/>
          <w:b/>
          <w:bCs/>
          <w:sz w:val="28"/>
          <w:szCs w:val="28"/>
          <w:u w:val="none"/>
          <w:lang w:val="en-US" w:eastAsia="zh-CN"/>
        </w:rPr>
        <w:t>辖区物业主管部门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审核。物业企业服务多个小区的，账号只需注册一次，重复操作本步骤即可绑定多个小区。（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u w:val="none"/>
          <w:lang w:val="en-US" w:eastAsia="zh-CN"/>
        </w:rPr>
        <w:t>辖区物业主管部门联系电话在系统首页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）</w:t>
      </w:r>
    </w:p>
    <w:p w14:paraId="1510AA28">
      <w:pPr>
        <w:pStyle w:val="9"/>
        <w:numPr>
          <w:ilvl w:val="0"/>
          <w:numId w:val="0"/>
        </w:numPr>
        <w:spacing w:line="360" w:lineRule="auto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308600" cy="1731645"/>
            <wp:effectExtent l="0" t="0" r="6350" b="190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173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1E6A8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业委会注册后，</w:t>
      </w:r>
      <w:r>
        <w:rPr>
          <w:rFonts w:hint="eastAsia" w:ascii="仿宋" w:hAnsi="仿宋" w:eastAsia="仿宋" w:cs="仿宋"/>
          <w:b w:val="0"/>
          <w:bCs w:val="0"/>
          <w:color w:val="auto"/>
          <w:sz w:val="28"/>
          <w:szCs w:val="28"/>
          <w:highlight w:val="none"/>
          <w:lang w:val="en-US" w:eastAsia="zh-CN"/>
        </w:rPr>
        <w:t>点击快捷栏“业委会备案”绑定小区，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根据系统提示上传材料后提交</w:t>
      </w:r>
      <w:r>
        <w:rPr>
          <w:rFonts w:hint="eastAsia" w:ascii="仿宋" w:hAnsi="仿宋" w:eastAsia="仿宋" w:cs="仿宋"/>
          <w:b/>
          <w:bCs/>
          <w:sz w:val="28"/>
          <w:szCs w:val="28"/>
          <w:u w:val="none"/>
          <w:lang w:val="en-US" w:eastAsia="zh-CN"/>
        </w:rPr>
        <w:t>辖区物业主管部门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审核。（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u w:val="none"/>
          <w:lang w:val="en-US" w:eastAsia="zh-CN"/>
        </w:rPr>
        <w:t>辖区物业主管部门联系电话在系统首页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）</w:t>
      </w:r>
    </w:p>
    <w:p w14:paraId="68A7FE0E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相关业主在注册界面根据系统提示填写信息，注册成功后即可，无需额外操作绑定小区步骤。</w:t>
      </w:r>
    </w:p>
    <w:p w14:paraId="43189414">
      <w:pPr>
        <w:pStyle w:val="9"/>
        <w:numPr>
          <w:ilvl w:val="0"/>
          <w:numId w:val="0"/>
        </w:numPr>
        <w:spacing w:line="360" w:lineRule="auto"/>
        <w:ind w:firstLine="562" w:firstLineChars="200"/>
        <w:outlineLvl w:val="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bookmarkStart w:id="1" w:name="_Toc2970"/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二、申请人变更</w:t>
      </w:r>
      <w:bookmarkEnd w:id="1"/>
    </w:p>
    <w:p w14:paraId="6CAFE67F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系统内已完结流程不受影响。</w:t>
      </w:r>
    </w:p>
    <w:p w14:paraId="1736BD93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系统内如有未完成流程的，物业服务企业更换或业委会换届等申请人变更的情形，原申请人应将维修资金相关材料移交新申请人，同时根据操作指南第八条撤销或删除该流程，以免冻结业主本次分摊金额。新申请人通过自己账号继续申请维修资金，尽快将申请流程操作完成，保障业主利益，原有材料如业主表决材料、造价材料等可继续使用的，由新申请人继续申请维修资金。</w:t>
      </w:r>
    </w:p>
    <w:p w14:paraId="74B7FF72">
      <w:pPr>
        <w:pStyle w:val="9"/>
        <w:numPr>
          <w:ilvl w:val="0"/>
          <w:numId w:val="0"/>
        </w:numPr>
        <w:spacing w:line="360" w:lineRule="auto"/>
        <w:ind w:firstLine="562" w:firstLineChars="200"/>
        <w:outlineLvl w:val="0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bookmarkStart w:id="2" w:name="_Toc2181"/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三、现场勘查</w:t>
      </w:r>
      <w:bookmarkEnd w:id="2"/>
    </w:p>
    <w:p w14:paraId="3A28E5D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/>
        <w:bidi w:val="0"/>
        <w:spacing w:line="560" w:lineRule="exact"/>
        <w:ind w:firstLine="560" w:firstLineChars="200"/>
        <w:textAlignment w:val="auto"/>
        <w:rPr>
          <w:rFonts w:hint="eastAsia" w:ascii="仿宋" w:hAnsi="仿宋" w:eastAsia="仿宋" w:cs="Times New Roman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Times New Roman"/>
          <w:b w:val="0"/>
          <w:bCs w:val="0"/>
          <w:kern w:val="2"/>
          <w:sz w:val="28"/>
          <w:szCs w:val="28"/>
          <w:u w:val="none"/>
          <w:lang w:val="en-US" w:eastAsia="zh-CN" w:bidi="ar-SA"/>
        </w:rPr>
        <w:t>辖区物业主管部门</w:t>
      </w:r>
      <w:r>
        <w:rPr>
          <w:rFonts w:hint="eastAsia" w:ascii="仿宋" w:hAnsi="仿宋" w:eastAsia="仿宋" w:cs="Times New Roman"/>
          <w:kern w:val="2"/>
          <w:sz w:val="28"/>
          <w:szCs w:val="28"/>
          <w:lang w:val="en-US" w:eastAsia="zh-CN" w:bidi="ar-SA"/>
        </w:rPr>
        <w:t>组织街道办事处（乡镇人民政府）现场勘查，认定物业专项维修资金项目符合情况、分摊范围等，并出具现场勘查意见（样表1）。申请人保存好现场勘查意见，后期公示和请款时需要。</w:t>
      </w:r>
    </w:p>
    <w:p w14:paraId="66C033D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/>
        <w:bidi w:val="0"/>
        <w:spacing w:line="560" w:lineRule="exact"/>
        <w:ind w:firstLine="560" w:firstLineChars="200"/>
        <w:textAlignment w:val="auto"/>
        <w:rPr>
          <w:rFonts w:hint="eastAsia" w:ascii="仿宋" w:hAnsi="仿宋" w:eastAsia="仿宋" w:cs="Times New Roman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Times New Roman"/>
          <w:kern w:val="2"/>
          <w:sz w:val="28"/>
          <w:szCs w:val="28"/>
          <w:lang w:val="en-US" w:eastAsia="zh-CN" w:bidi="ar-SA"/>
        </w:rPr>
        <w:t>涉及电梯和消防设施的，应由相应主管部门或有资质的第三方专业机构出具检测维修意见。</w:t>
      </w:r>
    </w:p>
    <w:p w14:paraId="53E1860E">
      <w:pPr>
        <w:pStyle w:val="9"/>
        <w:numPr>
          <w:ilvl w:val="0"/>
          <w:numId w:val="0"/>
        </w:numPr>
        <w:spacing w:line="360" w:lineRule="auto"/>
        <w:ind w:firstLine="560"/>
        <w:rPr>
          <w:rFonts w:hint="default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</w:pPr>
      <w:r>
        <w:rPr>
          <w:rFonts w:hint="eastAsia" w:ascii="仿宋" w:hAnsi="仿宋" w:eastAsia="仿宋" w:cs="Times New Roman"/>
          <w:b/>
          <w:bCs/>
          <w:kern w:val="2"/>
          <w:sz w:val="28"/>
          <w:szCs w:val="28"/>
          <w:highlight w:val="none"/>
          <w:lang w:val="en-US" w:eastAsia="zh-CN" w:bidi="ar-SA"/>
        </w:rPr>
        <w:t>注意</w:t>
      </w:r>
      <w:r>
        <w:rPr>
          <w:rFonts w:hint="eastAsia" w:ascii="仿宋" w:hAnsi="仿宋" w:eastAsia="仿宋" w:cs="Times New Roman"/>
          <w:kern w:val="2"/>
          <w:sz w:val="28"/>
          <w:szCs w:val="28"/>
          <w:highlight w:val="none"/>
          <w:lang w:val="en-US" w:eastAsia="zh-CN" w:bidi="ar-SA"/>
        </w:rPr>
        <w:t>：</w:t>
      </w:r>
      <w:r>
        <w:rPr>
          <w:rFonts w:hint="eastAsia" w:ascii="仿宋" w:hAnsi="仿宋" w:eastAsia="仿宋" w:cs="Times New Roman"/>
          <w:b w:val="0"/>
          <w:bCs w:val="0"/>
          <w:kern w:val="2"/>
          <w:sz w:val="28"/>
          <w:szCs w:val="28"/>
          <w:highlight w:val="none"/>
          <w:lang w:val="en-US" w:eastAsia="zh-CN" w:bidi="ar-SA"/>
        </w:rPr>
        <w:t>1.</w:t>
      </w:r>
      <w:r>
        <w:rPr>
          <w:rFonts w:hint="eastAsia" w:ascii="仿宋" w:hAnsi="仿宋" w:eastAsia="仿宋" w:cs="Times New Roman"/>
          <w:kern w:val="2"/>
          <w:sz w:val="28"/>
          <w:szCs w:val="28"/>
          <w:lang w:val="en-US" w:eastAsia="zh-CN" w:bidi="ar-SA"/>
        </w:rPr>
        <w:t>现场勘查意见</w:t>
      </w: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等模板，可适当调节字体大小、行距，尽量保持一页纸。</w:t>
      </w:r>
    </w:p>
    <w:p w14:paraId="7B98EBB2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Times New Roman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仿宋" w:hAnsi="仿宋" w:eastAsia="仿宋" w:cs="Times New Roman"/>
          <w:b w:val="0"/>
          <w:bCs w:val="0"/>
          <w:kern w:val="2"/>
          <w:sz w:val="28"/>
          <w:szCs w:val="28"/>
          <w:highlight w:val="none"/>
          <w:lang w:val="en-US" w:eastAsia="zh-CN" w:bidi="ar-SA"/>
        </w:rPr>
        <w:t>2.</w:t>
      </w:r>
      <w:r>
        <w:rPr>
          <w:rFonts w:hint="eastAsia" w:ascii="仿宋" w:hAnsi="仿宋" w:eastAsia="仿宋" w:cs="Times New Roman"/>
          <w:kern w:val="2"/>
          <w:sz w:val="28"/>
          <w:szCs w:val="28"/>
          <w:lang w:val="en-US" w:eastAsia="zh-CN" w:bidi="ar-SA"/>
        </w:rPr>
        <w:t>现场勘查完成后，组织申请时</w:t>
      </w:r>
      <w:r>
        <w:rPr>
          <w:rFonts w:hint="eastAsia" w:ascii="仿宋" w:hAnsi="仿宋" w:eastAsia="仿宋" w:cs="Times New Roman"/>
          <w:kern w:val="2"/>
          <w:sz w:val="28"/>
          <w:szCs w:val="28"/>
          <w:highlight w:val="none"/>
          <w:lang w:val="en-US" w:eastAsia="zh-CN" w:bidi="ar-SA"/>
        </w:rPr>
        <w:t>需要区分一般维修程序和应急维修程序，两种程序申请人有所不同。且申请人一旦确定，在申请流程及申请相关材料中应保持一致，不要出现多个申请人的情况。</w:t>
      </w:r>
    </w:p>
    <w:p w14:paraId="3964A2E6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仿宋" w:hAnsi="仿宋" w:eastAsia="仿宋" w:cs="Times New Roman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仿宋" w:hAnsi="仿宋" w:eastAsia="仿宋" w:cs="Times New Roman"/>
          <w:b/>
          <w:bCs/>
          <w:kern w:val="2"/>
          <w:sz w:val="28"/>
          <w:szCs w:val="28"/>
          <w:highlight w:val="none"/>
          <w:lang w:val="en-US" w:eastAsia="zh-CN" w:bidi="ar-SA"/>
        </w:rPr>
        <w:t>（1）一般维修程序</w:t>
      </w:r>
      <w:r>
        <w:rPr>
          <w:rFonts w:hint="eastAsia" w:ascii="仿宋" w:hAnsi="仿宋" w:eastAsia="仿宋" w:cs="Times New Roman"/>
          <w:kern w:val="2"/>
          <w:sz w:val="28"/>
          <w:szCs w:val="28"/>
          <w:highlight w:val="none"/>
          <w:lang w:val="en-US" w:eastAsia="zh-CN" w:bidi="ar-SA"/>
        </w:rPr>
        <w:t>：由物业服务企业根据维修、更新和改造项目提出使用建议，业主委员会制定物业专项维修资金使用方案；实施物业管理但尚未成立业主委员会的，由相关业主或者物业服务企业制定物业专项维修资金使用方案。</w:t>
      </w:r>
    </w:p>
    <w:p w14:paraId="05AE3491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仿宋" w:hAnsi="仿宋" w:eastAsia="仿宋" w:cs="Times New Roman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仿宋" w:hAnsi="仿宋" w:eastAsia="仿宋" w:cs="Times New Roman"/>
          <w:b/>
          <w:bCs/>
          <w:kern w:val="2"/>
          <w:sz w:val="28"/>
          <w:szCs w:val="28"/>
          <w:highlight w:val="none"/>
          <w:lang w:val="en-US" w:eastAsia="zh-CN" w:bidi="ar-SA"/>
        </w:rPr>
        <w:t>（2）应急维修程序</w:t>
      </w:r>
      <w:r>
        <w:rPr>
          <w:rFonts w:hint="eastAsia" w:ascii="仿宋" w:hAnsi="仿宋" w:eastAsia="仿宋" w:cs="Times New Roman"/>
          <w:kern w:val="2"/>
          <w:sz w:val="28"/>
          <w:szCs w:val="28"/>
          <w:highlight w:val="none"/>
          <w:lang w:val="en-US" w:eastAsia="zh-CN" w:bidi="ar-SA"/>
        </w:rPr>
        <w:t>：业主委员会、相关业主提出应急处置方案，或者物业服务企业提出建议，经业主委员会、相关业主同意制定应急处置方案。</w:t>
      </w:r>
    </w:p>
    <w:p w14:paraId="415F2662">
      <w:pPr>
        <w:pStyle w:val="9"/>
        <w:numPr>
          <w:ilvl w:val="0"/>
          <w:numId w:val="0"/>
        </w:numPr>
        <w:spacing w:line="360" w:lineRule="auto"/>
        <w:ind w:firstLine="562" w:firstLineChars="200"/>
        <w:outlineLvl w:val="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bookmarkStart w:id="3" w:name="_Toc22618"/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四、查询信息</w:t>
      </w:r>
      <w:bookmarkEnd w:id="3"/>
    </w:p>
    <w:p w14:paraId="691AFC4E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（一）查询交存情况</w:t>
      </w:r>
    </w:p>
    <w:p w14:paraId="319E0A8E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申请人账号已绑定成功的，可自行登录点击页面左下角“小区信息”查询已绑定小区的交存信息，也可就近前往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u w:val="none"/>
          <w:lang w:val="en-US" w:eastAsia="zh-CN"/>
        </w:rPr>
        <w:t>辖区物业主管部门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处查询。业主未交存或者未续交维修资金的，业主委员会应当督促交存。</w:t>
      </w:r>
    </w:p>
    <w:p w14:paraId="122374F9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本次参与分摊业主交存信息（包括已交存和未交存，以及已交存但余额不足），务必查询齐全，后续操作系统选择时不能遗漏，否则分摊金额会有错误。</w:t>
      </w:r>
    </w:p>
    <w:p w14:paraId="0BE9CB69">
      <w:pPr>
        <w:pStyle w:val="9"/>
        <w:numPr>
          <w:ilvl w:val="0"/>
          <w:numId w:val="0"/>
        </w:numPr>
        <w:spacing w:line="360" w:lineRule="auto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7325" cy="3350260"/>
            <wp:effectExtent l="0" t="0" r="9525" b="254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5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D4AB5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/>
          <w:bCs/>
          <w:sz w:val="28"/>
          <w:szCs w:val="28"/>
          <w:u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highlight w:val="none"/>
          <w:lang w:val="en-US" w:eastAsia="zh-CN"/>
        </w:rPr>
        <w:t>未交存维修资金或系统内缺少业主信息，影响正常使用分摊的，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点击快捷栏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highlight w:val="none"/>
          <w:lang w:val="en-US" w:eastAsia="zh-CN"/>
        </w:rPr>
        <w:t>“房屋补充”业务。点击“下载模板”，将系统缺少的业主信息填写完整，点击“导入”，上传相关附件材料后再点击“提交”，等待</w:t>
      </w:r>
      <w:r>
        <w:rPr>
          <w:rFonts w:hint="eastAsia" w:ascii="仿宋" w:hAnsi="仿宋" w:eastAsia="仿宋" w:cs="仿宋"/>
          <w:b/>
          <w:bCs/>
          <w:sz w:val="28"/>
          <w:szCs w:val="28"/>
          <w:u w:val="none"/>
          <w:lang w:val="en-US" w:eastAsia="zh-CN"/>
        </w:rPr>
        <w:t>市物管中心-连雅洁审核（联系电话0550-3066040）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u w:val="none"/>
          <w:lang w:val="en-US" w:eastAsia="zh-CN"/>
        </w:rPr>
        <w:t>（后续人员可能有变动，可继续联系该电话）</w:t>
      </w:r>
      <w:r>
        <w:rPr>
          <w:rFonts w:hint="eastAsia" w:ascii="仿宋" w:hAnsi="仿宋" w:eastAsia="仿宋" w:cs="仿宋"/>
          <w:b/>
          <w:bCs/>
          <w:sz w:val="28"/>
          <w:szCs w:val="28"/>
          <w:u w:val="none"/>
          <w:lang w:val="en-US" w:eastAsia="zh-CN"/>
        </w:rPr>
        <w:t>。</w:t>
      </w:r>
    </w:p>
    <w:p w14:paraId="390550D6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注意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：1.交存维修资金需要在流程建立前，一旦流程开始申请则不能增加或变更业主信息，除非删除流程重新建立。</w:t>
      </w:r>
    </w:p>
    <w:p w14:paraId="6EAFBCCF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2.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highlight w:val="none"/>
          <w:lang w:val="en-US" w:eastAsia="zh-CN"/>
        </w:rPr>
        <w:t>“房屋补充”业务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下载的模板不要随意删减行、列，并且信息填写完整，否则导入时系统不能识别。</w:t>
      </w:r>
    </w:p>
    <w:p w14:paraId="6DA2FEA0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3.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highlight w:val="none"/>
          <w:lang w:val="en-US" w:eastAsia="zh-CN"/>
        </w:rPr>
        <w:t>“房屋补充”业务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上传附件没有测绘报告的，可以将上述导入的模板excl表格打印，申请人盖章扫描上传。</w:t>
      </w:r>
    </w:p>
    <w:p w14:paraId="6F288A20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b w:val="0"/>
          <w:bCs w:val="0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4.“房屋补充”业务补充的业主信息没有实际余额，只能参与系统使用形式分摊，需要业主委员会督促业主交存或支付本次分摊金额。</w:t>
      </w:r>
    </w:p>
    <w:p w14:paraId="66BBD8BE">
      <w:pPr>
        <w:pStyle w:val="9"/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4785" cy="2222500"/>
            <wp:effectExtent l="0" t="0" r="12065" b="6350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80BF8">
      <w:pPr>
        <w:pStyle w:val="9"/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9865" cy="1800225"/>
            <wp:effectExtent l="0" t="0" r="3175" b="13335"/>
            <wp:docPr id="3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01431">
      <w:pPr>
        <w:pStyle w:val="9"/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9230" cy="1583055"/>
            <wp:effectExtent l="0" t="0" r="3810" b="1905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7A922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（二）查询业主信息变更</w:t>
      </w:r>
    </w:p>
    <w:p w14:paraId="36F81B34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业主房屋产权变更的，可告知业主携产权证明、身份证等相关证明材料前往政务大厅变更，一旦使用流程开始申请则不能变更业主信息，除非删除流程重新建立。</w:t>
      </w:r>
    </w:p>
    <w:p w14:paraId="064741C6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注意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：签字表决过程中发现业主已经变更，实际产权人进行表决的，由申请人核实情况后在签字表空白处说明情况并盖章，也可以提供产权证明材料附后证明。</w:t>
      </w:r>
    </w:p>
    <w:p w14:paraId="6A8D5E74">
      <w:pPr>
        <w:pStyle w:val="9"/>
        <w:numPr>
          <w:ilvl w:val="0"/>
          <w:numId w:val="0"/>
        </w:numPr>
        <w:spacing w:line="360" w:lineRule="auto"/>
        <w:ind w:firstLine="562" w:firstLineChars="200"/>
        <w:outlineLvl w:val="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bookmarkStart w:id="4" w:name="_Toc11209"/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  <w:t>五、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立项申请</w:t>
      </w:r>
      <w:bookmarkEnd w:id="4"/>
    </w:p>
    <w:p w14:paraId="5E5A7933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（一）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</w:rPr>
        <w:t>创建维修项目</w:t>
      </w:r>
    </w:p>
    <w:p w14:paraId="45084568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</w:rPr>
        <w:t>根据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本指南第三条现场勘查的意见，</w:t>
      </w:r>
      <w:r>
        <w:rPr>
          <w:rFonts w:hint="eastAsia" w:ascii="仿宋" w:hAnsi="仿宋" w:eastAsia="仿宋" w:cs="仿宋"/>
          <w:sz w:val="28"/>
          <w:szCs w:val="28"/>
        </w:rPr>
        <w:t>选择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“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新建一般维修程序”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或“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新建应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急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维修程序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”</w:t>
      </w:r>
      <w:r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lang w:val="en-US" w:eastAsia="zh-CN"/>
        </w:rPr>
        <w:t>注意区分</w:t>
      </w:r>
      <w:r>
        <w:rPr>
          <w:rFonts w:hint="eastAsia" w:ascii="仿宋" w:hAnsi="仿宋" w:eastAsia="仿宋" w:cs="Times New Roman"/>
          <w:b/>
          <w:bCs/>
          <w:kern w:val="2"/>
          <w:sz w:val="28"/>
          <w:szCs w:val="28"/>
          <w:highlight w:val="none"/>
          <w:lang w:val="en-US" w:eastAsia="zh-CN" w:bidi="ar-SA"/>
        </w:rPr>
        <w:t>一般维修程序和应急维修程序的申请人。</w:t>
      </w:r>
    </w:p>
    <w:p w14:paraId="7E131DAD">
      <w:pPr>
        <w:pStyle w:val="9"/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1135" cy="1654175"/>
            <wp:effectExtent l="0" t="0" r="1905" b="6985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65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4421A">
      <w:pPr>
        <w:pStyle w:val="9"/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3040" cy="1265555"/>
            <wp:effectExtent l="0" t="0" r="0" b="14605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26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804A0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kern w:val="2"/>
          <w:sz w:val="28"/>
          <w:szCs w:val="28"/>
          <w:lang w:val="en-US" w:eastAsia="zh-CN" w:bidi="ar-SA"/>
        </w:rPr>
        <w:t>（二）</w:t>
      </w:r>
      <w:r>
        <w:rPr>
          <w:rFonts w:hint="eastAsia" w:ascii="仿宋" w:hAnsi="仿宋" w:eastAsia="仿宋" w:cs="仿宋"/>
          <w:sz w:val="28"/>
          <w:szCs w:val="28"/>
        </w:rPr>
        <w:t>填写项目基本信息</w:t>
      </w:r>
    </w:p>
    <w:p w14:paraId="7B75E401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蓝色标志为必填项。填写项目名称（一般是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**小区**号楼**维修项目、**小区**号楼**更新项目、**小区**号楼**改造项目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）、开竣工日期、联系人和项目摘要等基本信息，一般默认分摊方式选择“按照面积分摊”（有约定的除外）</w:t>
      </w:r>
      <w:r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  <w:t>。</w:t>
      </w:r>
    </w:p>
    <w:p w14:paraId="16854A95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default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lang w:val="en-US" w:eastAsia="zh-CN"/>
        </w:rPr>
        <w:t>注意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：维修资金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项目名称应规范统一，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不要随意编写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项目名称。《安徽省物业专项维修资金管理办法》规定物业专项维修资金，是指专项用于物业保修期满后物业共用部位、共用设施设备的维修、更新和改造的资金。</w:t>
      </w:r>
    </w:p>
    <w:p w14:paraId="245DEF01">
      <w:pPr>
        <w:pStyle w:val="9"/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73675" cy="2099945"/>
            <wp:effectExtent l="0" t="0" r="14605" b="317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851A7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（三）选择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</w:rPr>
        <w:t>维修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设备</w:t>
      </w:r>
    </w:p>
    <w:p w14:paraId="6F999E32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点击“维修设备”，再点击“选择”，进入选择设施设备界面。先点击左侧楼栋列表选择需要维修的楼栋，再选择右侧设施设备名称，最后点击“确定”。</w:t>
      </w:r>
    </w:p>
    <w:p w14:paraId="214EE679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default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注意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.如有同一栋楼不同单元维修，系统识别到楼栋不支持到单元。例如5号楼1单元、2单元分别维修电梯，可第一次选择5号楼，删除2单元业主信息，保留1单元业主信息，设备名称选“电梯”；第二次选择5号楼，删除1单元业主信息，保留2单元业主信息，设备名称选“其他”，在维修内容中备注“电梯”即可。</w:t>
      </w:r>
    </w:p>
    <w:p w14:paraId="19A1F06F">
      <w:pPr>
        <w:pStyle w:val="9"/>
        <w:numPr>
          <w:ilvl w:val="0"/>
          <w:numId w:val="0"/>
        </w:numPr>
        <w:spacing w:line="360" w:lineRule="auto"/>
        <w:ind w:firstLine="560" w:firstLineChars="200"/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.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如有多栋楼维修的，重复上述步骤选择楼栋。例如1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号楼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维修费用1万元，2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号楼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维修费用10万元，按各自楼栋分摊各自金额，不得两栋楼共同分摊11万元。</w:t>
      </w:r>
    </w:p>
    <w:p w14:paraId="4793922A">
      <w:pPr>
        <w:pStyle w:val="9"/>
        <w:numPr>
          <w:ilvl w:val="0"/>
          <w:numId w:val="0"/>
        </w:numPr>
        <w:spacing w:line="360" w:lineRule="auto"/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</w:pPr>
      <w:r>
        <w:drawing>
          <wp:inline distT="0" distB="0" distL="114300" distR="114300">
            <wp:extent cx="5273040" cy="1677035"/>
            <wp:effectExtent l="0" t="0" r="3810" b="1841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7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CB4BE">
      <w:pPr>
        <w:pStyle w:val="9"/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70500" cy="3089275"/>
            <wp:effectExtent l="0" t="0" r="2540" b="444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8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ADC76">
      <w:pPr>
        <w:pStyle w:val="9"/>
        <w:widowControl w:val="0"/>
        <w:numPr>
          <w:ilvl w:val="0"/>
          <w:numId w:val="0"/>
        </w:numPr>
        <w:spacing w:line="360" w:lineRule="auto"/>
        <w:ind w:left="700" w:leftChars="0" w:firstLine="0" w:firstLineChars="0"/>
        <w:jc w:val="both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（四）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填写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</w:rPr>
        <w:t>维修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设备信息</w:t>
      </w:r>
    </w:p>
    <w:p w14:paraId="030CE8A9">
      <w:pPr>
        <w:pStyle w:val="9"/>
        <w:widowControl w:val="0"/>
        <w:numPr>
          <w:ilvl w:val="0"/>
          <w:numId w:val="0"/>
        </w:numPr>
        <w:spacing w:line="240" w:lineRule="auto"/>
        <w:ind w:left="0" w:leftChars="0" w:firstLine="560" w:firstLineChars="200"/>
        <w:jc w:val="both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按实际情况填写维修内容和预算金额（预算包含项目预算以及鉴定评估、设计、审计、监理、招标服务等费用），之后点击“预算分摊”，系统会自动对参与分摊业主的账号计算分摊金额，最后点击保存。</w:t>
      </w:r>
    </w:p>
    <w:p w14:paraId="459E597E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lang w:val="en-US" w:eastAsia="zh-CN"/>
        </w:rPr>
        <w:t>注意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：1.如有修改分摊范围的（系统偶尔会有重复楼栋或者0幢数据），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可以“添加”或“删除”房屋。</w:t>
      </w:r>
    </w:p>
    <w:p w14:paraId="623093FA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2.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如有房屋面积错误无法按照面积正确分摊费用的，或分摊金额有约定的，可以“导出分摊”导出表格，修改为实际应分摊的金额，再“导入分摊”即可。</w:t>
      </w:r>
    </w:p>
    <w:p w14:paraId="74BE3A53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3.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如在此步骤发现添加的业主信息不全的，按照本指南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第四条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“房屋补充”业务返回补充信息，补充成功后再操作。</w:t>
      </w:r>
    </w:p>
    <w:p w14:paraId="647E4684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sz w:val="28"/>
          <w:szCs w:val="28"/>
          <w:highlight w:val="yellow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4.预算金额中有审计、监理等费用时，且涉及多楼栋的，应在填写预算金额时区分开来，不要把审计、监理等费用只算在某一栋楼。</w:t>
      </w:r>
    </w:p>
    <w:p w14:paraId="2CFB176C">
      <w:pPr>
        <w:pStyle w:val="9"/>
        <w:numPr>
          <w:ilvl w:val="0"/>
          <w:numId w:val="0"/>
        </w:numPr>
        <w:spacing w:line="360" w:lineRule="auto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54625" cy="2894965"/>
            <wp:effectExtent l="0" t="0" r="3175" b="635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289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9073F">
      <w:pPr>
        <w:pStyle w:val="9"/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drawing>
          <wp:inline distT="0" distB="0" distL="114300" distR="114300">
            <wp:extent cx="5277485" cy="2592705"/>
            <wp:effectExtent l="0" t="0" r="18415" b="17145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259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48971">
      <w:pPr>
        <w:pStyle w:val="9"/>
        <w:widowControl w:val="0"/>
        <w:numPr>
          <w:ilvl w:val="0"/>
          <w:numId w:val="0"/>
        </w:numPr>
        <w:spacing w:line="360" w:lineRule="auto"/>
        <w:ind w:firstLine="560" w:firstLineChars="200"/>
        <w:jc w:val="both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（五）设置施工单位</w:t>
      </w:r>
    </w:p>
    <w:p w14:paraId="71DB5AA8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在“维修项目列表”界面，找到对应的维修项目，点击“更多操作”设置施工单位，施工单位名称应填写全称，且与资质证明等材料一致，否则影响后续请款拨付。招标项目暂未确定施工单位的，待确定后再填写施工单位信息。</w:t>
      </w:r>
    </w:p>
    <w:p w14:paraId="461B5FBC">
      <w:pPr>
        <w:pStyle w:val="9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7325" cy="614045"/>
            <wp:effectExtent l="0" t="0" r="5715" b="10795"/>
            <wp:docPr id="3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1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F9FEB">
      <w:pPr>
        <w:pStyle w:val="9"/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7325" cy="1205230"/>
            <wp:effectExtent l="0" t="0" r="9525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20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63CFA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（六）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公示方案</w:t>
      </w:r>
    </w:p>
    <w:p w14:paraId="7F2E4A78">
      <w:pPr>
        <w:pStyle w:val="9"/>
        <w:numPr>
          <w:ilvl w:val="0"/>
          <w:numId w:val="0"/>
        </w:numPr>
        <w:spacing w:line="360" w:lineRule="auto"/>
        <w:ind w:firstLine="56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点击“更多操做”，选择“公示公告管理”，继续点击项目立项公示“发布公示”，</w:t>
      </w:r>
      <w:r>
        <w:rPr>
          <w:rFonts w:hint="eastAsia" w:ascii="仿宋" w:hAnsi="仿宋" w:eastAsia="仿宋" w:cs="Times New Roman"/>
          <w:b/>
          <w:bCs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一般维修程序选择公示日期不少于7天，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u w:val="none"/>
          <w:lang w:val="en-US" w:eastAsia="zh-CN"/>
        </w:rPr>
        <w:t>应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u w:val="none"/>
        </w:rPr>
        <w:t>急</w:t>
      </w:r>
      <w:r>
        <w:rPr>
          <w:rFonts w:hint="eastAsia" w:ascii="仿宋" w:hAnsi="仿宋" w:eastAsia="仿宋" w:cs="Times New Roman"/>
          <w:b/>
          <w:bCs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维修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u w:val="none"/>
          <w:lang w:val="en-US" w:eastAsia="zh-CN"/>
        </w:rPr>
        <w:t>程序</w:t>
      </w:r>
      <w:r>
        <w:rPr>
          <w:rFonts w:hint="eastAsia" w:ascii="仿宋" w:hAnsi="仿宋" w:eastAsia="仿宋" w:cs="Times New Roman"/>
          <w:b/>
          <w:bCs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选择公示日期不少于3天</w:t>
      </w: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（公示期结束前系统不能操作下一步，但不影响线下相关准备工作等）。点击“发布预览”，生成使用方案公示后点击“发布”。再返回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“公示公告管理”界面，“打印项目公示”和“打印预算分摊清册”留待公示。</w:t>
      </w:r>
    </w:p>
    <w:p w14:paraId="2DFA2866">
      <w:pPr>
        <w:pStyle w:val="9"/>
        <w:numPr>
          <w:ilvl w:val="0"/>
          <w:numId w:val="0"/>
        </w:numPr>
        <w:spacing w:line="360" w:lineRule="auto"/>
        <w:ind w:firstLine="560"/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</w:pP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将打印的项目公示、预算分摊清册，和现场勘查意见（样表1）、使用方案（样表2）、预算造价材料（含应急维修程序和超过2万元一般维修程序的预算审核报告）、电梯消防检测维修意见整改意见（如有）等材料在物业管理区域显著位置进行公示，公示时间</w:t>
      </w:r>
      <w:r>
        <w:rPr>
          <w:rFonts w:hint="eastAsia" w:ascii="仿宋" w:hAnsi="仿宋" w:eastAsia="仿宋" w:cs="Times New Roman"/>
          <w:b/>
          <w:bCs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一般维修程序不少于7天，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u w:val="none"/>
          <w:lang w:val="en-US" w:eastAsia="zh-CN"/>
        </w:rPr>
        <w:t>应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u w:val="none"/>
        </w:rPr>
        <w:t>急</w:t>
      </w:r>
      <w:r>
        <w:rPr>
          <w:rFonts w:hint="eastAsia" w:ascii="仿宋" w:hAnsi="仿宋" w:eastAsia="仿宋" w:cs="Times New Roman"/>
          <w:b/>
          <w:bCs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维修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u w:val="none"/>
          <w:lang w:val="en-US" w:eastAsia="zh-CN"/>
        </w:rPr>
        <w:t>程序</w:t>
      </w:r>
      <w:r>
        <w:rPr>
          <w:rFonts w:hint="eastAsia" w:ascii="仿宋" w:hAnsi="仿宋" w:eastAsia="仿宋" w:cs="Times New Roman"/>
          <w:b/>
          <w:bCs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不少于3天</w:t>
      </w: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，留存影像证明材料。公示期内业主如有异议，申请人应当做好方案的调整及解释工作。</w:t>
      </w:r>
    </w:p>
    <w:p w14:paraId="400A9E99">
      <w:pPr>
        <w:pStyle w:val="9"/>
        <w:numPr>
          <w:ilvl w:val="0"/>
          <w:numId w:val="0"/>
        </w:numPr>
        <w:spacing w:line="360" w:lineRule="auto"/>
        <w:ind w:firstLine="560"/>
        <w:rPr>
          <w:rFonts w:hint="default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</w:pPr>
      <w:r>
        <w:rPr>
          <w:rFonts w:hint="eastAsia" w:ascii="仿宋" w:hAnsi="仿宋" w:eastAsia="仿宋" w:cs="Times New Roman"/>
          <w:b/>
          <w:bCs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注意</w:t>
      </w: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：使用方案等模板，可适当调节字体大小、行距，尽量保持一页纸。</w:t>
      </w:r>
    </w:p>
    <w:p w14:paraId="6276A264">
      <w:pPr>
        <w:pStyle w:val="9"/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2245" cy="1122680"/>
            <wp:effectExtent l="0" t="0" r="14605" b="1270"/>
            <wp:docPr id="3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12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7B047">
      <w:pPr>
        <w:pStyle w:val="9"/>
        <w:numPr>
          <w:ilvl w:val="0"/>
          <w:numId w:val="0"/>
        </w:numPr>
        <w:spacing w:line="360" w:lineRule="auto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drawing>
          <wp:inline distT="0" distB="0" distL="114300" distR="114300">
            <wp:extent cx="5268595" cy="1619250"/>
            <wp:effectExtent l="0" t="0" r="8255" b="0"/>
            <wp:docPr id="3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2B478">
      <w:pPr>
        <w:pStyle w:val="9"/>
        <w:numPr>
          <w:ilvl w:val="0"/>
          <w:numId w:val="0"/>
        </w:numPr>
        <w:spacing w:line="360" w:lineRule="auto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drawing>
          <wp:inline distT="0" distB="0" distL="114300" distR="114300">
            <wp:extent cx="5271135" cy="3556635"/>
            <wp:effectExtent l="0" t="0" r="5715" b="5715"/>
            <wp:docPr id="3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55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6654E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highlight w:val="none"/>
          <w:lang w:val="en-US" w:eastAsia="zh-CN" w:bidi="ar-SA"/>
        </w:rPr>
        <w:t>（七）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highlight w:val="none"/>
          <w:lang w:val="en-US" w:eastAsia="zh-CN"/>
        </w:rPr>
        <w:t>投票表决（</w:t>
      </w: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lang w:val="en-US" w:eastAsia="zh-CN"/>
        </w:rPr>
        <w:t>一般维修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u w:val="none"/>
          <w:lang w:val="en-US" w:eastAsia="zh-CN"/>
        </w:rPr>
        <w:t>程序操作此步骤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highlight w:val="none"/>
          <w:lang w:val="en-US" w:eastAsia="zh-CN"/>
        </w:rPr>
        <w:t>）</w:t>
      </w:r>
    </w:p>
    <w:p w14:paraId="3B16DA08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</w:pP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公示期无异议的，点击“更多操作”，选择“投票表决管理”，打印“打印投票表决签字表”，征求业主意见。</w:t>
      </w:r>
    </w:p>
    <w:p w14:paraId="51ED3FD0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default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</w:pPr>
      <w:r>
        <w:rPr>
          <w:rFonts w:hint="eastAsia" w:ascii="仿宋" w:hAnsi="仿宋" w:eastAsia="仿宋" w:cs="Times New Roman"/>
          <w:b/>
          <w:bCs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注意</w:t>
      </w: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：1.签字表应由业主本人在“同意”、“不同意”和“弃权”栏签署业主姓名（要签字，不是打钩、画圈等），并留电话号码，留待辖区物业主管部门审核时抽查业主签字真实性。如有涂改，申请人在涂改部位盖章确认。</w:t>
      </w:r>
    </w:p>
    <w:p w14:paraId="2E4ECE3F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</w:pP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2.如有产权变更未及时去政务大厅修改，导致业主签字和信息不符的，申请人核实情况后在签字表空白处说明情况并盖章（不需要单独出说明，写在空白处即可），也可以提供产权证明材料。</w:t>
      </w:r>
    </w:p>
    <w:p w14:paraId="0AE684A2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</w:pP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3.如有业主委托表决的，应提供委托书。</w:t>
      </w:r>
    </w:p>
    <w:p w14:paraId="5BB37C5E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</w:pP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4.如有业主有多套房屋的，按一人计算（即同一买受人拥有一个以上专有部分的，按照一人计算），面积按专有部分面积之和计算。</w:t>
      </w:r>
    </w:p>
    <w:p w14:paraId="4C09560C">
      <w:pPr>
        <w:pStyle w:val="9"/>
        <w:numPr>
          <w:ilvl w:val="0"/>
          <w:numId w:val="0"/>
        </w:numPr>
        <w:spacing w:line="360" w:lineRule="auto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9865" cy="1167765"/>
            <wp:effectExtent l="0" t="0" r="6985" b="13335"/>
            <wp:docPr id="3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6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83A18">
      <w:pPr>
        <w:pStyle w:val="9"/>
        <w:numPr>
          <w:ilvl w:val="0"/>
          <w:numId w:val="0"/>
        </w:numPr>
        <w:spacing w:line="360" w:lineRule="auto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drawing>
          <wp:inline distT="0" distB="0" distL="114300" distR="114300">
            <wp:extent cx="5268595" cy="1873885"/>
            <wp:effectExtent l="0" t="0" r="8255" b="12065"/>
            <wp:docPr id="3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7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C85A2">
      <w:pPr>
        <w:pStyle w:val="9"/>
        <w:numPr>
          <w:ilvl w:val="0"/>
          <w:numId w:val="0"/>
        </w:numPr>
        <w:spacing w:line="360" w:lineRule="auto"/>
        <w:ind w:firstLine="560"/>
        <w:rPr>
          <w:rFonts w:hint="default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表决完成后点击“录入投票表决结果”，按实录入投票结果，点击“保存”会自动离开此页面。依次点击“查看投票表决结果”、“打印表决结果”，申请人盖章确认后，与</w:t>
      </w: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投票表决签字表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一起作为立项申请附件。</w:t>
      </w:r>
    </w:p>
    <w:p w14:paraId="4105E49B">
      <w:pPr>
        <w:pStyle w:val="9"/>
        <w:numPr>
          <w:ilvl w:val="0"/>
          <w:numId w:val="0"/>
        </w:numPr>
        <w:spacing w:line="360" w:lineRule="auto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drawing>
          <wp:inline distT="0" distB="0" distL="114300" distR="114300">
            <wp:extent cx="5271770" cy="1838325"/>
            <wp:effectExtent l="0" t="0" r="5080" b="9525"/>
            <wp:docPr id="5" name="图片 5" descr="1748506976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4850697613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499DB">
      <w:pPr>
        <w:pStyle w:val="9"/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72405" cy="1964690"/>
            <wp:effectExtent l="0" t="0" r="4445" b="1651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6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B8E99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（八）立项申请</w:t>
      </w:r>
    </w:p>
    <w:p w14:paraId="2237F08E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 w:eastAsia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点击“更多操做”，选择“项目立项”。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上传所需附件后点击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提交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选择选择初审单位辖区街道办事处（乡镇人民政府）</w:t>
      </w:r>
      <w:r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依次等待</w:t>
      </w: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u w:val="none"/>
          <w:lang w:val="en-US" w:eastAsia="zh-CN"/>
        </w:rPr>
        <w:t>街道办事处（乡镇人民政府）、辖区物业主管部门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审核通过后，申请人按合同约定组织项目施工</w:t>
      </w:r>
      <w:r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  <w:t>。</w:t>
      </w:r>
    </w:p>
    <w:p w14:paraId="15AFF6F4">
      <w:pPr>
        <w:pStyle w:val="9"/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181600" cy="1686560"/>
            <wp:effectExtent l="0" t="0" r="0" b="8890"/>
            <wp:docPr id="4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168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1E12C">
      <w:pPr>
        <w:pStyle w:val="9"/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1770" cy="3001645"/>
            <wp:effectExtent l="0" t="0" r="508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00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26F00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kern w:val="2"/>
          <w:sz w:val="28"/>
          <w:szCs w:val="28"/>
          <w:lang w:val="en-US" w:eastAsia="zh-CN" w:bidi="ar-SA"/>
        </w:rPr>
        <w:t>注意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：1.使用方案扫描件是样表2。</w:t>
      </w:r>
    </w:p>
    <w:p w14:paraId="30A0AE42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2.现场勘查意见扫描件是样表1。</w:t>
      </w:r>
    </w:p>
    <w:p w14:paraId="35E56203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</w:pPr>
      <w:r>
        <w:rPr>
          <w:rFonts w:hint="default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3.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业主表决意见及结果统计扫描件，是系统打印的投票表决签字表和投票表决公示。</w:t>
      </w:r>
      <w:r>
        <w:rPr>
          <w:rFonts w:hint="eastAsia" w:ascii="仿宋" w:hAnsi="仿宋" w:eastAsia="仿宋" w:cs="仿宋"/>
          <w:b w:val="0"/>
          <w:bCs w:val="0"/>
          <w:color w:val="auto"/>
          <w:sz w:val="28"/>
          <w:szCs w:val="28"/>
          <w:highlight w:val="none"/>
          <w:lang w:val="en-US" w:eastAsia="zh-CN"/>
        </w:rPr>
        <w:t>一般维修程序上传该项。</w:t>
      </w:r>
    </w:p>
    <w:p w14:paraId="395163EC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4.合同扫描件上传工程合同、审计合同、监理合同等合同文件。</w:t>
      </w:r>
    </w:p>
    <w:p w14:paraId="649686A3">
      <w:pPr>
        <w:pStyle w:val="9"/>
        <w:numPr>
          <w:ilvl w:val="0"/>
          <w:numId w:val="0"/>
        </w:numPr>
        <w:spacing w:line="360" w:lineRule="auto"/>
        <w:ind w:firstLine="560"/>
        <w:rPr>
          <w:rFonts w:hint="default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5.资质证明扫描件是施工单位资质证明相关材料。</w:t>
      </w:r>
    </w:p>
    <w:p w14:paraId="285C0949">
      <w:pPr>
        <w:pStyle w:val="9"/>
        <w:numPr>
          <w:ilvl w:val="0"/>
          <w:numId w:val="0"/>
        </w:numPr>
        <w:spacing w:line="360" w:lineRule="auto"/>
        <w:ind w:firstLine="560"/>
        <w:rPr>
          <w:rFonts w:hint="default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6.公示照片应至少两张，一远一近，远的能看清公示的位置，例如门厅、小区大门或告示栏等显著位置；近的能看清公示的材料名称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。</w:t>
      </w:r>
    </w:p>
    <w:p w14:paraId="7E60B9D1">
      <w:pPr>
        <w:pStyle w:val="9"/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default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7.预算造价扫描件是</w:t>
      </w:r>
      <w:r>
        <w:rPr>
          <w:rFonts w:hint="eastAsia" w:ascii="仿宋" w:hAnsi="仿宋" w:eastAsia="仿宋" w:cs="Times New Roman"/>
          <w:kern w:val="2"/>
          <w:sz w:val="28"/>
          <w:szCs w:val="28"/>
          <w:lang w:val="en-US" w:eastAsia="zh-CN" w:bidi="ar-SA"/>
        </w:rPr>
        <w:t>相应单位编制工程预算。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lang w:val="en-US" w:eastAsia="zh-CN"/>
        </w:rPr>
        <w:t>应急维修程序和超过2万元一般维修程序还应上传预算审核报告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。</w:t>
      </w:r>
    </w:p>
    <w:p w14:paraId="03774924">
      <w:pPr>
        <w:pStyle w:val="9"/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default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8.电梯消防整改意见扫描件是上传电梯和消防设施检测维修意见，为非必须项，适用电梯消防项目。</w:t>
      </w:r>
    </w:p>
    <w:p w14:paraId="2E63BC76">
      <w:pPr>
        <w:pStyle w:val="9"/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9.其他项，为非必须项，上传相关鉴定证明等其他材料；若其他附件因容量限制无法上传，也可通过此选项提交。</w:t>
      </w:r>
    </w:p>
    <w:p w14:paraId="0DD2C96A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上述所有材料应保存原件，请款时提供。申请人可自行留存备份。</w:t>
      </w:r>
    </w:p>
    <w:p w14:paraId="74CEF168">
      <w:pPr>
        <w:pStyle w:val="9"/>
        <w:numPr>
          <w:ilvl w:val="0"/>
          <w:numId w:val="0"/>
        </w:numPr>
        <w:spacing w:line="360" w:lineRule="auto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（九）打印使用申请表</w:t>
      </w:r>
    </w:p>
    <w:p w14:paraId="6E5A5339">
      <w:pPr>
        <w:pStyle w:val="9"/>
        <w:numPr>
          <w:ilvl w:val="0"/>
          <w:numId w:val="0"/>
        </w:numPr>
        <w:spacing w:line="360" w:lineRule="auto"/>
        <w:rPr>
          <w:rFonts w:hint="default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 在“我的工作”中找到已审核完成使用流程，点击项目名称进入查看界面。可以通过“查看全部审批意见”来跟踪审核进度和查看审核意见，待</w:t>
      </w: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u w:val="none"/>
          <w:lang w:val="en-US" w:eastAsia="zh-CN"/>
        </w:rPr>
        <w:t>街道办事处（乡镇人民政府）、辖区物业主管部门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审核通过，方可打印最左下角的“维修资金使用申请表”，此表盖章留存，作为请款材料之一。各区物业主管部门联系电话在系统首页，时间紧急时可电话联系审核。</w:t>
      </w:r>
    </w:p>
    <w:p w14:paraId="2C19E394">
      <w:pPr>
        <w:pStyle w:val="9"/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73675" cy="1130300"/>
            <wp:effectExtent l="0" t="0" r="14605" b="12700"/>
            <wp:docPr id="5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FBF6A">
      <w:pPr>
        <w:pStyle w:val="9"/>
        <w:numPr>
          <w:ilvl w:val="0"/>
          <w:numId w:val="0"/>
        </w:numPr>
        <w:spacing w:line="360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3754120"/>
            <wp:effectExtent l="0" t="0" r="3175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75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E9120">
      <w:pPr>
        <w:pStyle w:val="9"/>
        <w:numPr>
          <w:ilvl w:val="0"/>
          <w:numId w:val="0"/>
        </w:numPr>
        <w:spacing w:line="360" w:lineRule="auto"/>
        <w:outlineLvl w:val="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bookmarkStart w:id="5" w:name="_Toc25762"/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  <w:t>六、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资金拨付</w:t>
      </w:r>
      <w:bookmarkEnd w:id="5"/>
    </w:p>
    <w:p w14:paraId="7B0A9ABB">
      <w:pPr>
        <w:pStyle w:val="9"/>
        <w:numPr>
          <w:ilvl w:val="0"/>
          <w:numId w:val="0"/>
        </w:numPr>
        <w:spacing w:line="360" w:lineRule="auto"/>
        <w:ind w:left="0" w:leftChars="0" w:firstLine="560" w:firstLineChars="200"/>
        <w:rPr>
          <w:rFonts w:hint="default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（一）组织验收</w:t>
      </w:r>
    </w:p>
    <w:p w14:paraId="0E2A388D">
      <w:pPr>
        <w:pStyle w:val="9"/>
        <w:spacing w:line="360" w:lineRule="auto"/>
        <w:ind w:left="0" w:leftChars="0" w:firstLine="560" w:firstLineChars="200"/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工程完成后，申请人组织验收。</w:t>
      </w:r>
      <w:r>
        <w:rPr>
          <w:rFonts w:hint="eastAsia" w:ascii="仿宋" w:hAnsi="仿宋" w:eastAsia="仿宋" w:cs="仿宋"/>
          <w:b/>
          <w:bCs/>
          <w:kern w:val="2"/>
          <w:sz w:val="28"/>
          <w:szCs w:val="28"/>
          <w:u w:val="none"/>
          <w:lang w:val="en-US" w:eastAsia="zh-CN" w:bidi="ar-SA"/>
        </w:rPr>
        <w:t>辖区物业主管部门、街道办事处（乡镇人民政府）、申请人、业主代表和施工单位、监理单位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等共同参与验收，填写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仿宋"/>
          <w:sz w:val="28"/>
          <w:szCs w:val="28"/>
        </w:rPr>
        <w:t>验收报告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”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（样表3）并盖章。</w:t>
      </w:r>
    </w:p>
    <w:p w14:paraId="54740F2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/>
        <w:bidi w:val="0"/>
        <w:spacing w:line="560" w:lineRule="exact"/>
        <w:ind w:firstLine="560" w:firstLineChars="200"/>
        <w:textAlignment w:val="auto"/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涉及电梯和消防设施的，应由相应主管部门或有资质的第三方专业机构出具验收合格证明。</w:t>
      </w:r>
    </w:p>
    <w:p w14:paraId="4EE78A2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/>
        <w:bidi w:val="0"/>
        <w:spacing w:line="560" w:lineRule="exact"/>
        <w:ind w:firstLine="562" w:firstLineChars="200"/>
        <w:textAlignment w:val="auto"/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kern w:val="2"/>
          <w:sz w:val="28"/>
          <w:szCs w:val="28"/>
          <w:highlight w:val="none"/>
          <w:lang w:val="en-US" w:eastAsia="zh-CN" w:bidi="ar-SA"/>
        </w:rPr>
        <w:t>注意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highlight w:val="none"/>
          <w:lang w:val="en-US" w:eastAsia="zh-CN" w:bidi="ar-SA"/>
        </w:rPr>
        <w:t>：</w:t>
      </w:r>
      <w:r>
        <w:rPr>
          <w:rFonts w:hint="eastAsia" w:ascii="仿宋" w:hAnsi="仿宋" w:eastAsia="仿宋" w:cs="仿宋"/>
          <w:sz w:val="28"/>
          <w:szCs w:val="28"/>
        </w:rPr>
        <w:t>验收报告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（样表3）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highlight w:val="none"/>
          <w:lang w:val="en-US" w:eastAsia="zh-CN" w:bidi="ar-SA"/>
        </w:rPr>
        <w:t>中，业主代表签字应由业主本人或委托人签字，别只找一个业主签字，尽量多找几个。如有产权变更未及时去政务大厅修改，导致业主签字和信息不符的，申请人核实情况后在</w:t>
      </w:r>
      <w:r>
        <w:rPr>
          <w:rFonts w:hint="eastAsia" w:ascii="仿宋" w:hAnsi="仿宋" w:eastAsia="仿宋" w:cs="仿宋"/>
          <w:sz w:val="28"/>
          <w:szCs w:val="28"/>
        </w:rPr>
        <w:t>验收报告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highlight w:val="none"/>
          <w:lang w:val="en-US" w:eastAsia="zh-CN" w:bidi="ar-SA"/>
        </w:rPr>
        <w:t>空白处说明情况并盖章（不需要单独出说明，写在空白处即可），也可以提供产权证明材料。</w:t>
      </w:r>
    </w:p>
    <w:p w14:paraId="78948F76">
      <w:pPr>
        <w:pStyle w:val="9"/>
        <w:spacing w:line="360" w:lineRule="auto"/>
        <w:ind w:left="0" w:leftChars="0" w:firstLine="560" w:firstLineChars="20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（二）填写验收信息</w:t>
      </w:r>
    </w:p>
    <w:p w14:paraId="38AF54C3">
      <w:pPr>
        <w:pStyle w:val="9"/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验收合格的，在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维修项目列表界面点击“更多操做”，选择“项目验收”。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按要求</w:t>
      </w:r>
      <w:r>
        <w:rPr>
          <w:rFonts w:hint="eastAsia" w:ascii="仿宋" w:hAnsi="仿宋" w:eastAsia="仿宋" w:cs="仿宋"/>
          <w:sz w:val="28"/>
          <w:szCs w:val="28"/>
        </w:rPr>
        <w:t>填写验收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基本信息和结算金额，结算金额填写总额，不要自行扣除质保金部分和资金缺口部分（结算金额包括项目结算额、鉴定评估、设计、审价、监理、招标服务等费用）。按要求</w:t>
      </w:r>
      <w:r>
        <w:rPr>
          <w:rFonts w:hint="eastAsia" w:ascii="仿宋" w:hAnsi="仿宋" w:eastAsia="仿宋" w:cs="仿宋"/>
          <w:sz w:val="28"/>
          <w:szCs w:val="28"/>
        </w:rPr>
        <w:t>上传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仿宋"/>
          <w:sz w:val="28"/>
          <w:szCs w:val="28"/>
        </w:rPr>
        <w:t>验收报告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”（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样表3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），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点击“提交”（提交无需审核，仅仅是系统的操作步骤）。</w:t>
      </w:r>
    </w:p>
    <w:p w14:paraId="59107E16">
      <w:pPr>
        <w:pStyle w:val="9"/>
        <w:numPr>
          <w:ilvl w:val="0"/>
          <w:numId w:val="0"/>
        </w:numPr>
        <w:spacing w:line="360" w:lineRule="auto"/>
        <w:ind w:firstLine="562" w:firstLineChars="200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lang w:val="en-US" w:eastAsia="zh-CN"/>
        </w:rPr>
        <w:t>注意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：申请结算金额请务必核对正确，一旦提交拨付阶段，申请人无权限修改，须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联系系统首页运维人员撤回上一步修改金额。</w:t>
      </w:r>
    </w:p>
    <w:p w14:paraId="1AA62794">
      <w:pPr>
        <w:pStyle w:val="9"/>
        <w:numPr>
          <w:ilvl w:val="0"/>
          <w:numId w:val="0"/>
        </w:numPr>
        <w:spacing w:line="360" w:lineRule="auto"/>
        <w:ind w:leftChars="0"/>
        <w:rPr>
          <w:rFonts w:ascii="宋体" w:hAnsi="宋体" w:eastAsia="宋体"/>
          <w:b/>
          <w:bCs/>
          <w:sz w:val="24"/>
          <w:szCs w:val="24"/>
        </w:rPr>
      </w:pPr>
      <w:r>
        <w:drawing>
          <wp:inline distT="0" distB="0" distL="114300" distR="114300">
            <wp:extent cx="5231765" cy="1977390"/>
            <wp:effectExtent l="0" t="0" r="10795" b="381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1765" cy="197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DC8CB">
      <w:pPr>
        <w:pStyle w:val="9"/>
        <w:numPr>
          <w:ilvl w:val="0"/>
          <w:numId w:val="0"/>
        </w:numPr>
        <w:spacing w:line="360" w:lineRule="auto"/>
        <w:ind w:left="420" w:hanging="420" w:hangingChars="200"/>
      </w:pPr>
      <w:bookmarkStart w:id="8" w:name="_GoBack"/>
      <w:r>
        <w:drawing>
          <wp:inline distT="0" distB="0" distL="114300" distR="114300">
            <wp:extent cx="5262245" cy="2407920"/>
            <wp:effectExtent l="0" t="0" r="14605" b="1143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8"/>
    </w:p>
    <w:p w14:paraId="28C0E52F">
      <w:pPr>
        <w:pStyle w:val="9"/>
        <w:spacing w:line="360" w:lineRule="auto"/>
        <w:ind w:left="0" w:leftChars="0" w:firstLine="560" w:firstLineChars="200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（三）验收公示</w:t>
      </w:r>
    </w:p>
    <w:p w14:paraId="4E5DD641">
      <w:pPr>
        <w:pStyle w:val="9"/>
        <w:numPr>
          <w:ilvl w:val="0"/>
          <w:numId w:val="0"/>
        </w:numPr>
        <w:spacing w:line="240" w:lineRule="auto"/>
        <w:ind w:left="0" w:firstLine="560" w:firstLineChars="2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维修项目列表界面点击“更多操作”，选择“公示公告管理”。项目验收公示中“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发布公示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”</w:t>
      </w: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选择公示日期不少于7天（公示期结束前系统不能操作下一步）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点击“发布”。</w:t>
      </w:r>
    </w:p>
    <w:p w14:paraId="21DDB8BE">
      <w:pPr>
        <w:pStyle w:val="9"/>
        <w:numPr>
          <w:ilvl w:val="0"/>
          <w:numId w:val="0"/>
        </w:numPr>
        <w:spacing w:line="360" w:lineRule="auto"/>
        <w:ind w:firstLine="560" w:firstLineChars="200"/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打印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“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验收公示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”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和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“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结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算分摊清册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”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盖章，与“验收报告”（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样表3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）、结算审核报告（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lang w:val="en-US" w:eastAsia="zh-CN"/>
        </w:rPr>
        <w:t>应急维修程序和超过2万元一般维修程序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）、</w:t>
      </w:r>
      <w:r>
        <w:rPr>
          <w:rFonts w:hint="eastAsia" w:ascii="仿宋" w:hAnsi="仿宋" w:eastAsia="仿宋" w:cs="Times New Roman"/>
          <w:kern w:val="2"/>
          <w:sz w:val="28"/>
          <w:szCs w:val="28"/>
          <w:lang w:val="en-US" w:eastAsia="zh-CN" w:bidi="ar-SA"/>
        </w:rPr>
        <w:t>电梯和消防验收合格证明等材料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一起公示不少于7日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，</w:t>
      </w: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留存影像证明材料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。</w:t>
      </w:r>
    </w:p>
    <w:p w14:paraId="3A93783F">
      <w:pPr>
        <w:pStyle w:val="9"/>
        <w:spacing w:line="360" w:lineRule="auto"/>
        <w:ind w:left="0" w:leftChars="0" w:firstLine="0" w:firstLineChars="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198745" cy="2197735"/>
            <wp:effectExtent l="0" t="0" r="13335" b="1206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98745" cy="219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D402D">
      <w:pPr>
        <w:pStyle w:val="9"/>
        <w:numPr>
          <w:ilvl w:val="0"/>
          <w:numId w:val="0"/>
        </w:numPr>
        <w:spacing w:line="360" w:lineRule="auto"/>
        <w:ind w:firstLine="560" w:firstLineChars="200"/>
      </w:pPr>
      <w:r>
        <w:rPr>
          <w:rFonts w:hint="eastAsia" w:ascii="仿宋" w:hAnsi="仿宋" w:eastAsia="仿宋" w:cs="仿宋"/>
          <w:kern w:val="2"/>
          <w:sz w:val="28"/>
          <w:szCs w:val="28"/>
          <w:lang w:val="en-US" w:eastAsia="zh-CN" w:bidi="ar-SA"/>
        </w:rPr>
        <w:t>（四）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提交资金拨付</w:t>
      </w:r>
    </w:p>
    <w:p w14:paraId="189F376F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验收公示无异议的，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点击“更多操作”，选择“资金拨付”，</w:t>
      </w:r>
      <w:r>
        <w:rPr>
          <w:rFonts w:hint="eastAsia" w:ascii="仿宋" w:hAnsi="仿宋" w:eastAsia="仿宋" w:cs="仿宋"/>
          <w:sz w:val="28"/>
          <w:szCs w:val="28"/>
        </w:rPr>
        <w:t>填写收款账户账号信息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上传所需附件后点击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提交</w:t>
      </w: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u w:val="none"/>
          <w:lang w:val="en-US" w:eastAsia="zh-CN"/>
        </w:rPr>
        <w:t>辖区物业主管部门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审核</w:t>
      </w:r>
      <w:r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辖区物业主管部门审核通过后，</w:t>
      </w: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u w:val="none"/>
          <w:lang w:eastAsia="zh-CN"/>
        </w:rPr>
        <w:t>市</w:t>
      </w: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u w:val="none"/>
          <w:lang w:val="en-US" w:eastAsia="zh-CN"/>
        </w:rPr>
        <w:t>物管</w:t>
      </w: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u w:val="none"/>
          <w:lang w:eastAsia="zh-CN"/>
        </w:rPr>
        <w:t>中心</w:t>
      </w:r>
      <w:r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  <w:t>根据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辖</w:t>
      </w:r>
      <w:r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  <w:t>区物业主管部门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的拨付</w:t>
      </w:r>
      <w:r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  <w:t>意见，扣除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结算</w:t>
      </w:r>
      <w:r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  <w:t>总价款的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  <w:t>%（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质保金不足1000元的，按1000元计算</w:t>
      </w:r>
      <w:r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  <w:t>）作为工程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质保</w:t>
      </w:r>
      <w:r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  <w:t>金后划拨资金，保修期满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经辖区物业主管部门、申请人、施工单位、监理单位以及业主代表确认无异议后，无息退还</w:t>
      </w:r>
      <w:r>
        <w:rPr>
          <w:rFonts w:hint="eastAsia" w:ascii="仿宋" w:hAnsi="仿宋" w:eastAsia="仿宋" w:cs="仿宋"/>
          <w:sz w:val="28"/>
          <w:szCs w:val="28"/>
          <w:highlight w:val="none"/>
          <w:lang w:eastAsia="zh-CN"/>
        </w:rPr>
        <w:t>。</w:t>
      </w:r>
    </w:p>
    <w:p w14:paraId="1ABC29E7">
      <w:pPr>
        <w:pStyle w:val="9"/>
        <w:numPr>
          <w:ilvl w:val="0"/>
          <w:numId w:val="0"/>
        </w:numPr>
        <w:spacing w:line="360" w:lineRule="auto"/>
        <w:ind w:leftChars="0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5173980" cy="1666875"/>
            <wp:effectExtent l="0" t="0" r="762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17398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91A6B">
      <w:pPr>
        <w:pStyle w:val="9"/>
        <w:numPr>
          <w:ilvl w:val="0"/>
          <w:numId w:val="0"/>
        </w:numPr>
        <w:spacing w:line="360" w:lineRule="auto"/>
        <w:jc w:val="center"/>
      </w:pPr>
      <w:r>
        <w:drawing>
          <wp:inline distT="0" distB="0" distL="114300" distR="114300">
            <wp:extent cx="5270500" cy="3001010"/>
            <wp:effectExtent l="0" t="0" r="254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0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4BDA8">
      <w:pPr>
        <w:pStyle w:val="9"/>
        <w:numPr>
          <w:ilvl w:val="0"/>
          <w:numId w:val="0"/>
        </w:numPr>
        <w:spacing w:line="360" w:lineRule="auto"/>
        <w:ind w:firstLine="562" w:firstLineChars="2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lang w:val="en-US" w:eastAsia="zh-CN"/>
        </w:rPr>
        <w:t>注意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：1.验收报告扫描件是样表3。</w:t>
      </w:r>
    </w:p>
    <w:p w14:paraId="7EC2886E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kern w:val="2"/>
          <w:sz w:val="28"/>
          <w:szCs w:val="28"/>
          <w:lang w:val="en-US" w:eastAsia="zh-CN" w:bidi="ar-SA"/>
        </w:rPr>
        <w:t>2.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公示照片应至少有两张，一远一近，远的能看清公示的位置，例如门厅、小区大门或告示栏等显著位置；近的能看清公示的材料名称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。</w:t>
      </w:r>
    </w:p>
    <w:p w14:paraId="2ABF15DB">
      <w:pPr>
        <w:pStyle w:val="9"/>
        <w:numPr>
          <w:ilvl w:val="0"/>
          <w:numId w:val="0"/>
        </w:numPr>
        <w:spacing w:line="360" w:lineRule="auto"/>
        <w:ind w:firstLine="56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3.结算审核报告扫描件（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lang w:val="en-US" w:eastAsia="zh-CN"/>
        </w:rPr>
        <w:t>应急维修程序和超过2万元一般维修程序上传结算审核报告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）。</w:t>
      </w:r>
    </w:p>
    <w:p w14:paraId="33A03CC0">
      <w:pPr>
        <w:pStyle w:val="9"/>
        <w:numPr>
          <w:ilvl w:val="0"/>
          <w:numId w:val="0"/>
        </w:numPr>
        <w:spacing w:line="360" w:lineRule="auto"/>
        <w:ind w:firstLine="56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4.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电梯消防验收意见扫描件是上传电梯和消防设施验收合格证明，为非必须项，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适用电梯消防项目。</w:t>
      </w:r>
    </w:p>
    <w:p w14:paraId="469CE420">
      <w:pPr>
        <w:pStyle w:val="9"/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default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5.发票（包含工程项目、审价、监理等发票）</w:t>
      </w:r>
    </w:p>
    <w:p w14:paraId="2E7E28C8">
      <w:pPr>
        <w:pStyle w:val="9"/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6.其他项，为非必须项，上传相关鉴定验收等其他材料。</w:t>
      </w:r>
    </w:p>
    <w:p w14:paraId="64C46422">
      <w:pPr>
        <w:pStyle w:val="9"/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default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7.如流程被退回，将整改合格材料按相应附件名称上传；但立项阶段材料在拨付申请时退回是无法整改的，整改后可上传到其他项。</w:t>
      </w:r>
    </w:p>
    <w:p w14:paraId="7C2EE799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上述所有材料应保存原件，请款时提供。申请人可自行留存备份。</w:t>
      </w:r>
    </w:p>
    <w:p w14:paraId="41A2728E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kern w:val="2"/>
          <w:sz w:val="28"/>
          <w:szCs w:val="28"/>
          <w:lang w:val="en-US" w:eastAsia="zh-CN" w:bidi="ar-SA"/>
        </w:rPr>
        <w:t>（五）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请款</w:t>
      </w:r>
    </w:p>
    <w:p w14:paraId="4E5A2E24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在“我的工作”中找到该流程，点击项目名称进入查看界面。可以通过“查看全部审批意见”来跟踪审核进度和查看审批意见。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u w:val="none"/>
          <w:lang w:val="en-US" w:eastAsia="zh-CN"/>
        </w:rPr>
        <w:t>待</w:t>
      </w:r>
      <w:r>
        <w:rPr>
          <w:rFonts w:hint="eastAsia" w:ascii="仿宋" w:hAnsi="仿宋" w:eastAsia="仿宋" w:cs="仿宋"/>
          <w:b/>
          <w:bCs/>
          <w:i w:val="0"/>
          <w:iCs w:val="0"/>
          <w:color w:val="auto"/>
          <w:sz w:val="28"/>
          <w:szCs w:val="28"/>
          <w:highlight w:val="none"/>
          <w:u w:val="none"/>
          <w:lang w:eastAsia="zh-CN"/>
        </w:rPr>
        <w:t>市物管中心</w:t>
      </w:r>
      <w:r>
        <w:rPr>
          <w:rFonts w:hint="eastAsia" w:ascii="仿宋" w:hAnsi="仿宋" w:eastAsia="仿宋" w:cs="仿宋"/>
          <w:b/>
          <w:bCs/>
          <w:i w:val="0"/>
          <w:iCs w:val="0"/>
          <w:color w:val="auto"/>
          <w:sz w:val="28"/>
          <w:szCs w:val="28"/>
          <w:highlight w:val="none"/>
          <w:u w:val="none"/>
          <w:lang w:val="en-US" w:eastAsia="zh-CN"/>
        </w:rPr>
        <w:t>依次初审、复审、终审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olor w:val="auto"/>
          <w:sz w:val="28"/>
          <w:szCs w:val="28"/>
          <w:highlight w:val="none"/>
          <w:u w:val="none"/>
          <w:lang w:val="en-US" w:eastAsia="zh-CN"/>
        </w:rPr>
        <w:t>通过后，申请人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提供以下纸质版原件：</w:t>
      </w:r>
    </w:p>
    <w:p w14:paraId="098AA61D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kern w:val="2"/>
          <w:sz w:val="28"/>
          <w:szCs w:val="28"/>
          <w:lang w:val="en-US" w:eastAsia="zh-CN" w:bidi="ar-SA"/>
        </w:rPr>
        <w:t>1.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发票（如有审价、监理等其他单位的一并提供</w:t>
      </w:r>
      <w:r>
        <w:rPr>
          <w:rFonts w:hint="eastAsia" w:ascii="仿宋" w:hAnsi="仿宋" w:eastAsia="仿宋" w:cs="Times New Roman"/>
          <w:color w:val="auto"/>
          <w:kern w:val="2"/>
          <w:sz w:val="28"/>
          <w:szCs w:val="28"/>
          <w:lang w:val="en-US" w:eastAsia="zh-CN" w:bidi="ar-SA"/>
        </w:rPr>
        <w:t>，开票信息见操作指南附件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）；</w:t>
      </w:r>
    </w:p>
    <w:p w14:paraId="210AEB6B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kern w:val="2"/>
          <w:sz w:val="28"/>
          <w:szCs w:val="28"/>
          <w:lang w:val="en-US" w:eastAsia="zh-CN" w:bidi="ar-SA"/>
        </w:rPr>
        <w:t>2.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资金使用申请表（系统打印，见本指南第五条中第九项）；</w:t>
      </w:r>
    </w:p>
    <w:p w14:paraId="6EA80C0E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3.现场勘查意见（样表1）；</w:t>
      </w:r>
    </w:p>
    <w:p w14:paraId="0046088D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4.使用方案（样表2）；</w:t>
      </w:r>
    </w:p>
    <w:p w14:paraId="26C53B26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5.业主表决表和表决结果（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一般维修程序提供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）；</w:t>
      </w:r>
    </w:p>
    <w:p w14:paraId="581E3632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6.合同（如有审价、监理等其他单位的一并提供）；</w:t>
      </w:r>
    </w:p>
    <w:p w14:paraId="151DD929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7.验收报告（样表3）；</w:t>
      </w:r>
    </w:p>
    <w:p w14:paraId="1650061C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8.打印的公示照片；</w:t>
      </w:r>
    </w:p>
    <w:p w14:paraId="07E5DCCC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9.工程造价相关材料（含预算造价材料、预算审核报告、结算审核报告等）；</w:t>
      </w:r>
    </w:p>
    <w:p w14:paraId="6F8595DF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10.其他材料，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u w:val="none"/>
          <w:lang w:val="en-US" w:eastAsia="zh-CN"/>
        </w:rPr>
        <w:t>电梯和消防检测维修意见和验收合格证明（如有），相关鉴定证明材料等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。</w:t>
      </w:r>
    </w:p>
    <w:p w14:paraId="771D4C64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上述材料按顺序整理齐全，送至</w:t>
      </w:r>
      <w:r>
        <w:rPr>
          <w:rFonts w:hint="eastAsia" w:ascii="仿宋" w:hAnsi="仿宋" w:eastAsia="仿宋" w:cs="仿宋"/>
          <w:b/>
          <w:bCs/>
          <w:i w:val="0"/>
          <w:iCs w:val="0"/>
          <w:color w:val="auto"/>
          <w:sz w:val="28"/>
          <w:szCs w:val="28"/>
          <w:highlight w:val="none"/>
          <w:u w:val="none"/>
          <w:lang w:eastAsia="zh-CN"/>
        </w:rPr>
        <w:t>市物管中心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（琅琊西路81号建设大厦14楼）。待拨付款项后，前往</w:t>
      </w:r>
      <w:r>
        <w:rPr>
          <w:rFonts w:hint="eastAsia" w:ascii="仿宋" w:hAnsi="仿宋" w:eastAsia="仿宋" w:cs="仿宋"/>
          <w:b/>
          <w:bCs/>
          <w:i w:val="0"/>
          <w:iCs w:val="0"/>
          <w:color w:val="auto"/>
          <w:sz w:val="28"/>
          <w:szCs w:val="28"/>
          <w:highlight w:val="none"/>
          <w:u w:val="none"/>
          <w:lang w:eastAsia="zh-CN"/>
        </w:rPr>
        <w:t>市物管中心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领取质保金收据，申请人或施工单位妥善保存，退还质保金时作为附件材料。</w:t>
      </w:r>
    </w:p>
    <w:p w14:paraId="68E0ED43">
      <w:pPr>
        <w:pStyle w:val="9"/>
        <w:numPr>
          <w:ilvl w:val="0"/>
          <w:numId w:val="0"/>
        </w:numPr>
        <w:spacing w:line="360" w:lineRule="auto"/>
        <w:ind w:firstLine="562" w:firstLineChars="200"/>
        <w:outlineLvl w:val="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bookmarkStart w:id="6" w:name="_Toc27865"/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七、退还质保金</w:t>
      </w:r>
      <w:bookmarkEnd w:id="6"/>
    </w:p>
    <w:p w14:paraId="50EE351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/>
        <w:bidi w:val="0"/>
        <w:spacing w:line="560" w:lineRule="exact"/>
        <w:ind w:firstLine="560" w:firstLineChars="200"/>
        <w:textAlignment w:val="auto"/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保修期满经辖区物业主管部门、申请人、施工单位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、监理单位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以及业主代表确认无异议后，提供质保金划拨单（样表4）、质保金退还申请表（样表5）和收据，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送至</w:t>
      </w:r>
      <w:r>
        <w:rPr>
          <w:rFonts w:hint="eastAsia" w:ascii="仿宋" w:hAnsi="仿宋" w:eastAsia="仿宋" w:cs="仿宋"/>
          <w:b/>
          <w:bCs/>
          <w:i w:val="0"/>
          <w:iCs w:val="0"/>
          <w:color w:val="auto"/>
          <w:sz w:val="28"/>
          <w:szCs w:val="28"/>
          <w:highlight w:val="none"/>
          <w:u w:val="none"/>
          <w:lang w:eastAsia="zh-CN"/>
        </w:rPr>
        <w:t>市物管中心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（琅琊西路81号建设大厦14楼）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u w:val="none"/>
          <w:lang w:val="en-US" w:eastAsia="zh-CN"/>
        </w:rPr>
        <w:t>请款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。</w:t>
      </w:r>
    </w:p>
    <w:p w14:paraId="65CA8A8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/>
        <w:bidi w:val="0"/>
        <w:spacing w:line="560" w:lineRule="exact"/>
        <w:ind w:firstLine="562" w:firstLineChars="200"/>
        <w:textAlignment w:val="auto"/>
        <w:rPr>
          <w:rFonts w:hint="default" w:ascii="仿宋" w:hAnsi="仿宋" w:eastAsia="仿宋" w:cs="仿宋"/>
          <w:b w:val="0"/>
          <w:bCs w:val="0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kern w:val="2"/>
          <w:sz w:val="28"/>
          <w:szCs w:val="28"/>
          <w:highlight w:val="none"/>
          <w:lang w:val="en-US" w:eastAsia="zh-CN" w:bidi="ar-SA"/>
        </w:rPr>
        <w:t>注意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highlight w:val="none"/>
          <w:lang w:val="en-US" w:eastAsia="zh-CN" w:bidi="ar-SA"/>
        </w:rPr>
        <w:t>：质保金退还申请表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（样表5）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highlight w:val="none"/>
          <w:lang w:val="en-US" w:eastAsia="zh-CN" w:bidi="ar-SA"/>
        </w:rPr>
        <w:t>中，业主代表签字应由业主本人或委托人签字，别只找一个业主签字，尽量多找几个。</w:t>
      </w: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如有产权变更未及时去政务大厅修改，导致业主签字和信息不符的，申请人核实情况后在</w:t>
      </w: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highlight w:val="none"/>
          <w:lang w:val="en-US" w:eastAsia="zh-CN" w:bidi="ar-SA"/>
        </w:rPr>
        <w:t>申请表</w:t>
      </w:r>
      <w:r>
        <w:rPr>
          <w:rFonts w:hint="eastAsia" w:ascii="仿宋" w:hAnsi="仿宋" w:eastAsia="仿宋" w:cs="Times New Roman"/>
          <w:b w:val="0"/>
          <w:bCs w:val="0"/>
          <w:color w:val="auto"/>
          <w:kern w:val="2"/>
          <w:sz w:val="28"/>
          <w:szCs w:val="28"/>
          <w:highlight w:val="none"/>
          <w:u w:val="none"/>
          <w:lang w:val="en-US" w:eastAsia="zh-CN" w:bidi="ar-SA"/>
        </w:rPr>
        <w:t>空白处说明情况并盖章（不需要单独出说明，写在空白处即可），也可以提供产权证明材料。</w:t>
      </w:r>
    </w:p>
    <w:p w14:paraId="741F02C4">
      <w:pPr>
        <w:pStyle w:val="9"/>
        <w:numPr>
          <w:ilvl w:val="0"/>
          <w:numId w:val="0"/>
        </w:numPr>
        <w:spacing w:line="360" w:lineRule="auto"/>
        <w:ind w:firstLine="562" w:firstLineChars="200"/>
        <w:outlineLvl w:val="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bookmarkStart w:id="7" w:name="_Toc5986"/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  <w:t>八、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注意事项</w:t>
      </w:r>
      <w:bookmarkEnd w:id="7"/>
    </w:p>
    <w:p w14:paraId="2A43B775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（一）留存材料</w:t>
      </w:r>
    </w:p>
    <w:p w14:paraId="4E6DF27F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申请人根据实际需要自行留存备份材料，流程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u w:val="none"/>
          <w:lang w:val="en-US" w:eastAsia="zh-CN"/>
        </w:rPr>
        <w:t>终审结束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后，提供纸质原件到建设大厦14楼请款。</w:t>
      </w:r>
    </w:p>
    <w:p w14:paraId="56FEE55A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（二）无法登录情况</w:t>
      </w:r>
    </w:p>
    <w:p w14:paraId="7E6B945B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如遇到系统突然无法登陆，自行联系提供宽带服务的公司，笔记本电脑可尝试连手机热点暂时解决。</w:t>
      </w:r>
    </w:p>
    <w:p w14:paraId="661522D6">
      <w:pPr>
        <w:pStyle w:val="9"/>
        <w:numPr>
          <w:ilvl w:val="0"/>
          <w:numId w:val="0"/>
        </w:numPr>
        <w:spacing w:line="360" w:lineRule="auto"/>
        <w:ind w:firstLine="56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（三）废弃流程处理</w:t>
      </w:r>
    </w:p>
    <w:p w14:paraId="7ECBABE3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建议申请人定期登录账号查询废弃流程，一旦流程建立成功，该项流程预算金额会暂时冻结业主本次分摊金额，可能影响后续使用。</w:t>
      </w:r>
    </w:p>
    <w:p w14:paraId="71761D0A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申请人可登录账号查询，项目状态为“新项目”的废弃流程，可直接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点击“更多操作”中“删除”。</w:t>
      </w:r>
    </w:p>
    <w:p w14:paraId="5EEBD78F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项目状态为已立项的废弃流程，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通过“更多操作”中发布撤销公示1天后，再次点击“更多操作”中“删除”。</w:t>
      </w:r>
    </w:p>
    <w:p w14:paraId="34DD96FC">
      <w:pPr>
        <w:pStyle w:val="9"/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28"/>
          <w:szCs w:val="28"/>
          <w:lang w:val="en-US" w:eastAsia="zh-CN" w:bidi="ar-SA"/>
        </w:rPr>
        <w:t>（四）</w:t>
      </w: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撤销</w:t>
      </w:r>
    </w:p>
    <w:p w14:paraId="62E93900">
      <w:pPr>
        <w:pStyle w:val="9"/>
        <w:numPr>
          <w:ilvl w:val="0"/>
          <w:numId w:val="0"/>
        </w:numPr>
        <w:spacing w:line="360" w:lineRule="auto"/>
        <w:ind w:firstLine="56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项目请款阶段需要撤销的，须联系系统首页运维人员撤销，申请人账号无操作权限。</w:t>
      </w:r>
    </w:p>
    <w:p w14:paraId="6B2F7D20">
      <w:pPr>
        <w:pStyle w:val="9"/>
        <w:numPr>
          <w:ilvl w:val="0"/>
          <w:numId w:val="0"/>
        </w:numPr>
        <w:spacing w:line="360" w:lineRule="auto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</w:p>
    <w:sectPr>
      <w:footerReference r:id="rId4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2916FE"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D959EF">
                          <w:pPr>
                            <w:pStyle w:val="3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rPr>
                              <w:rFonts w:hint="eastAsia"/>
                              <w:lang w:val="en-US" w:eastAsia="zh-CN"/>
                            </w:rPr>
                            <w:t>21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qMOCsyAgAAY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uow4Kz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9D959EF">
                    <w:pPr>
                      <w:pStyle w:val="3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rPr>
                        <w:rFonts w:hint="eastAsia"/>
                        <w:lang w:val="en-US" w:eastAsia="zh-CN"/>
                      </w:rPr>
                      <w:t>21</w:t>
                    </w:r>
                    <w:r>
                      <w:t>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37389D">
    <w:pPr>
      <w:pStyle w:val="4"/>
      <w:jc w:val="center"/>
      <w:rPr>
        <w:rFonts w:hint="default" w:eastAsiaTheme="minorEastAsia"/>
        <w:sz w:val="21"/>
        <w:szCs w:val="21"/>
        <w:lang w:val="en-US" w:eastAsia="zh-CN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jBhZjgyNjVlNDY2OWVmZmIyMmE2MmVmMjNiNGY1OWUifQ=="/>
  </w:docVars>
  <w:rsids>
    <w:rsidRoot w:val="00646EA1"/>
    <w:rsid w:val="00016AA2"/>
    <w:rsid w:val="00646EA1"/>
    <w:rsid w:val="007F34A2"/>
    <w:rsid w:val="009074C4"/>
    <w:rsid w:val="00A63141"/>
    <w:rsid w:val="00E728CC"/>
    <w:rsid w:val="00F130EE"/>
    <w:rsid w:val="01543C57"/>
    <w:rsid w:val="03CC2774"/>
    <w:rsid w:val="03D4700E"/>
    <w:rsid w:val="0431652B"/>
    <w:rsid w:val="045A1721"/>
    <w:rsid w:val="047E4DFB"/>
    <w:rsid w:val="051E4C52"/>
    <w:rsid w:val="063943B2"/>
    <w:rsid w:val="06B6628F"/>
    <w:rsid w:val="06F761D4"/>
    <w:rsid w:val="08962261"/>
    <w:rsid w:val="09165729"/>
    <w:rsid w:val="0943328F"/>
    <w:rsid w:val="0B0D1A5D"/>
    <w:rsid w:val="0CD630FC"/>
    <w:rsid w:val="0D6F6A5B"/>
    <w:rsid w:val="0EE341E3"/>
    <w:rsid w:val="0F1D1942"/>
    <w:rsid w:val="0F896315"/>
    <w:rsid w:val="11454132"/>
    <w:rsid w:val="11EB7A08"/>
    <w:rsid w:val="140E6FF3"/>
    <w:rsid w:val="14670BEA"/>
    <w:rsid w:val="15E13AAA"/>
    <w:rsid w:val="164F6F39"/>
    <w:rsid w:val="175B7522"/>
    <w:rsid w:val="176C5390"/>
    <w:rsid w:val="17C73821"/>
    <w:rsid w:val="18227AA8"/>
    <w:rsid w:val="19577758"/>
    <w:rsid w:val="1C2B7F52"/>
    <w:rsid w:val="1C6F2EBC"/>
    <w:rsid w:val="1C744D56"/>
    <w:rsid w:val="1CC026D9"/>
    <w:rsid w:val="1CD64B3D"/>
    <w:rsid w:val="1EC63745"/>
    <w:rsid w:val="1F060D85"/>
    <w:rsid w:val="1F37572A"/>
    <w:rsid w:val="1FAD34AF"/>
    <w:rsid w:val="208F3B57"/>
    <w:rsid w:val="20D951CB"/>
    <w:rsid w:val="211254BE"/>
    <w:rsid w:val="21240E3F"/>
    <w:rsid w:val="21436C0C"/>
    <w:rsid w:val="216C7E00"/>
    <w:rsid w:val="231B1EC8"/>
    <w:rsid w:val="23417980"/>
    <w:rsid w:val="23E423D0"/>
    <w:rsid w:val="24426810"/>
    <w:rsid w:val="24FE01AF"/>
    <w:rsid w:val="25083A47"/>
    <w:rsid w:val="26EE15BB"/>
    <w:rsid w:val="279A3258"/>
    <w:rsid w:val="293B62E5"/>
    <w:rsid w:val="2AB4090A"/>
    <w:rsid w:val="2B04536D"/>
    <w:rsid w:val="2B245924"/>
    <w:rsid w:val="2BBC4A18"/>
    <w:rsid w:val="2C1C0320"/>
    <w:rsid w:val="2CAE6D47"/>
    <w:rsid w:val="2CE1615C"/>
    <w:rsid w:val="2DD3344C"/>
    <w:rsid w:val="2E7A29D5"/>
    <w:rsid w:val="2E7E3EF6"/>
    <w:rsid w:val="2F563853"/>
    <w:rsid w:val="2F5C2187"/>
    <w:rsid w:val="30C81F29"/>
    <w:rsid w:val="3117658C"/>
    <w:rsid w:val="311E60F9"/>
    <w:rsid w:val="31611515"/>
    <w:rsid w:val="319A74E4"/>
    <w:rsid w:val="32132518"/>
    <w:rsid w:val="32AD0D89"/>
    <w:rsid w:val="32E83CCE"/>
    <w:rsid w:val="32EB6401"/>
    <w:rsid w:val="334D37AC"/>
    <w:rsid w:val="33594EBF"/>
    <w:rsid w:val="35756B09"/>
    <w:rsid w:val="36303D09"/>
    <w:rsid w:val="369F2437"/>
    <w:rsid w:val="37130C8D"/>
    <w:rsid w:val="37A90767"/>
    <w:rsid w:val="39050906"/>
    <w:rsid w:val="3957655F"/>
    <w:rsid w:val="3A130D8D"/>
    <w:rsid w:val="3A730D84"/>
    <w:rsid w:val="3B2E1791"/>
    <w:rsid w:val="3B695E46"/>
    <w:rsid w:val="3C125CC6"/>
    <w:rsid w:val="3CD50E52"/>
    <w:rsid w:val="3D0B4554"/>
    <w:rsid w:val="3E424DD8"/>
    <w:rsid w:val="40060602"/>
    <w:rsid w:val="4080099D"/>
    <w:rsid w:val="416C5F63"/>
    <w:rsid w:val="41CE48A3"/>
    <w:rsid w:val="42EA355F"/>
    <w:rsid w:val="433441AF"/>
    <w:rsid w:val="436E67AA"/>
    <w:rsid w:val="43726D85"/>
    <w:rsid w:val="446C0B6C"/>
    <w:rsid w:val="446C6120"/>
    <w:rsid w:val="44C02C38"/>
    <w:rsid w:val="44D7049A"/>
    <w:rsid w:val="457509C5"/>
    <w:rsid w:val="45B23E4C"/>
    <w:rsid w:val="45F312C1"/>
    <w:rsid w:val="468B19DE"/>
    <w:rsid w:val="469F551C"/>
    <w:rsid w:val="48D4656C"/>
    <w:rsid w:val="4A7139F3"/>
    <w:rsid w:val="4ADD4C24"/>
    <w:rsid w:val="4BC35EC2"/>
    <w:rsid w:val="4D8E2649"/>
    <w:rsid w:val="4DCB7001"/>
    <w:rsid w:val="4EC32B5C"/>
    <w:rsid w:val="50B12AD0"/>
    <w:rsid w:val="51D23E0F"/>
    <w:rsid w:val="52195235"/>
    <w:rsid w:val="524A311B"/>
    <w:rsid w:val="53351E55"/>
    <w:rsid w:val="53A26232"/>
    <w:rsid w:val="54D16921"/>
    <w:rsid w:val="54DA4F67"/>
    <w:rsid w:val="54E54098"/>
    <w:rsid w:val="55B23B19"/>
    <w:rsid w:val="570F1A08"/>
    <w:rsid w:val="576C7E06"/>
    <w:rsid w:val="583F6B15"/>
    <w:rsid w:val="584C77DE"/>
    <w:rsid w:val="587A4CE2"/>
    <w:rsid w:val="58B06C37"/>
    <w:rsid w:val="59374DA6"/>
    <w:rsid w:val="5AFE1D02"/>
    <w:rsid w:val="5B8C1BC8"/>
    <w:rsid w:val="5BC008DF"/>
    <w:rsid w:val="5BD17475"/>
    <w:rsid w:val="5F1467AF"/>
    <w:rsid w:val="605677E1"/>
    <w:rsid w:val="605C3D3C"/>
    <w:rsid w:val="61825515"/>
    <w:rsid w:val="620B5095"/>
    <w:rsid w:val="634D7F5B"/>
    <w:rsid w:val="63572E8A"/>
    <w:rsid w:val="64BA2AFD"/>
    <w:rsid w:val="65BD4167"/>
    <w:rsid w:val="66BB1792"/>
    <w:rsid w:val="66FC0D8D"/>
    <w:rsid w:val="67306429"/>
    <w:rsid w:val="67957DE0"/>
    <w:rsid w:val="679F6B0A"/>
    <w:rsid w:val="67A864FE"/>
    <w:rsid w:val="681A634E"/>
    <w:rsid w:val="69727678"/>
    <w:rsid w:val="69B06BFB"/>
    <w:rsid w:val="6A11656F"/>
    <w:rsid w:val="6A6C3ED7"/>
    <w:rsid w:val="6AAC36D5"/>
    <w:rsid w:val="6B0B5095"/>
    <w:rsid w:val="6B6B7B84"/>
    <w:rsid w:val="6C31619E"/>
    <w:rsid w:val="6C35696B"/>
    <w:rsid w:val="6DD0429B"/>
    <w:rsid w:val="6E3F6605"/>
    <w:rsid w:val="6E5A4FB8"/>
    <w:rsid w:val="6F130E92"/>
    <w:rsid w:val="6FE53A11"/>
    <w:rsid w:val="716971A2"/>
    <w:rsid w:val="720A1C2A"/>
    <w:rsid w:val="74310D47"/>
    <w:rsid w:val="74433EA0"/>
    <w:rsid w:val="745A7F10"/>
    <w:rsid w:val="74DB197D"/>
    <w:rsid w:val="76450C24"/>
    <w:rsid w:val="76794173"/>
    <w:rsid w:val="76CF5F86"/>
    <w:rsid w:val="774F6469"/>
    <w:rsid w:val="777B4092"/>
    <w:rsid w:val="783B23DF"/>
    <w:rsid w:val="78DB4FE8"/>
    <w:rsid w:val="79F124A5"/>
    <w:rsid w:val="7AF05B67"/>
    <w:rsid w:val="7B2C74E6"/>
    <w:rsid w:val="7B433672"/>
    <w:rsid w:val="7C5F5BD0"/>
    <w:rsid w:val="7D20578D"/>
    <w:rsid w:val="7D4534DF"/>
    <w:rsid w:val="7E8F0526"/>
    <w:rsid w:val="7F8E3B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semiHidden/>
    <w:unhideWhenUsed/>
    <w:qFormat/>
    <w:uiPriority w:val="99"/>
    <w:pPr>
      <w:jc w:val="left"/>
    </w:pPr>
  </w:style>
  <w:style w:type="paragraph" w:styleId="3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toc 1"/>
    <w:basedOn w:val="1"/>
    <w:next w:val="1"/>
    <w:semiHidden/>
    <w:unhideWhenUsed/>
    <w:qFormat/>
    <w:uiPriority w:val="39"/>
  </w:style>
  <w:style w:type="paragraph" w:styleId="6">
    <w:name w:val="Normal (Web)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0" w:beforeAutospacing="0" w:after="0" w:afterAutospacing="0"/>
      <w:ind w:left="0" w:right="0"/>
      <w:jc w:val="left"/>
    </w:pPr>
    <w:rPr>
      <w:kern w:val="0"/>
      <w:sz w:val="24"/>
      <w:u w:val="none"/>
      <w:lang w:val="en-US" w:eastAsia="zh-CN" w:bidi="ar"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16"/>
    <w:basedOn w:val="8"/>
    <w:qFormat/>
    <w:uiPriority w:val="0"/>
    <w:rPr>
      <w:rFonts w:hint="default" w:ascii="Calibri" w:hAnsi="Calibri" w:cs="Times New Roman"/>
      <w:sz w:val="18"/>
      <w:szCs w:val="18"/>
    </w:rPr>
  </w:style>
  <w:style w:type="paragraph" w:customStyle="1" w:styleId="11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6297</Words>
  <Characters>6383</Characters>
  <Lines>1</Lines>
  <Paragraphs>1</Paragraphs>
  <TotalTime>3</TotalTime>
  <ScaleCrop>false</ScaleCrop>
  <LinksUpToDate>false</LinksUpToDate>
  <CharactersWithSpaces>6412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2020-10-14T15:31:00Z</dcterms:created>
  <dc:creator>wls</dc:creator>
  <cp:lastModifiedBy>云海生烟</cp:lastModifiedBy>
  <dcterms:modified xsi:type="dcterms:W3CDTF">2025-06-30T07:41:41Z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E0AA7AE4100E4D59BB83308C859A5DC9</vt:lpwstr>
  </property>
  <property fmtid="{D5CDD505-2E9C-101B-9397-08002B2CF9AE}" pid="4" name="KSOTemplateDocerSaveRecord">
    <vt:lpwstr>eyJoZGlkIjoiZjBhZjgyNjVlNDY2OWVmZmIyMmE2MmVmMjNiNGY1OWUiLCJ1c2VySWQiOiI0MDk4NDc1NDMifQ==</vt:lpwstr>
  </property>
</Properties>
</file>